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E" w:rsidRDefault="0058475F" w:rsidP="00EF641E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EF641E" w:rsidRDefault="0058475F" w:rsidP="00EF64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Талат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Џафери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F641E" w:rsidRDefault="0058475F" w:rsidP="00EF64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F641E" w:rsidRDefault="0058475F" w:rsidP="00EF64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EF641E" w:rsidRDefault="00EF641E" w:rsidP="00EF641E">
      <w:pPr>
        <w:rPr>
          <w:lang w:val="en-US"/>
        </w:rPr>
      </w:pPr>
    </w:p>
    <w:p w:rsidR="00EF641E" w:rsidRPr="00EF641E" w:rsidRDefault="00EF641E" w:rsidP="00EF641E">
      <w:pPr>
        <w:shd w:val="clear" w:color="auto" w:fill="FFFFFF"/>
        <w:spacing w:line="250" w:lineRule="exact"/>
        <w:ind w:left="10" w:right="5" w:firstLine="710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4"/>
          <w:sz w:val="24"/>
          <w:szCs w:val="24"/>
        </w:rPr>
        <w:t>Согласно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одредбите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Законот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служба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Маке</w:t>
      </w:r>
      <w:r w:rsidR="0010742C">
        <w:rPr>
          <w:rFonts w:ascii="Arial" w:hAnsi="Arial" w:cs="Arial"/>
          <w:color w:val="000000"/>
          <w:w w:val="95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10742C">
        <w:rPr>
          <w:rFonts w:ascii="Arial" w:hAnsi="Arial" w:cs="Arial"/>
          <w:color w:val="000000"/>
          <w:w w:val="95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нија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„Службен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весник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РМ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"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. 62/2002, 98/2002, 25/2003, 71/2003, </w:t>
      </w:r>
      <w:r w:rsidR="0058475F">
        <w:rPr>
          <w:rFonts w:ascii="Arial" w:hAnsi="Arial" w:cs="Arial"/>
          <w:color w:val="000000"/>
          <w:spacing w:val="17"/>
          <w:w w:val="92"/>
          <w:sz w:val="24"/>
          <w:szCs w:val="24"/>
        </w:rPr>
        <w:t>112/2005,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134</w:t>
      </w:r>
      <w:r w:rsidR="0058475F">
        <w:rPr>
          <w:rFonts w:ascii="Arial" w:hAnsi="Arial" w:cs="Arial"/>
          <w:color w:val="000000"/>
          <w:w w:val="92"/>
          <w:sz w:val="24"/>
          <w:szCs w:val="24"/>
          <w:lang w:val="en-US"/>
        </w:rPr>
        <w:t xml:space="preserve"> 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/2007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6/2009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год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.),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воен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старешина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поставува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соодветна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должност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фор</w:t>
      </w:r>
      <w:r w:rsidR="0010742C">
        <w:rPr>
          <w:rFonts w:ascii="Arial" w:hAnsi="Arial" w:cs="Arial"/>
          <w:color w:val="000000"/>
          <w:w w:val="95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мациско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место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воено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>-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евиденционата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специјалност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и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според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потребите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службата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>.</w:t>
      </w:r>
    </w:p>
    <w:p w:rsidR="00EF641E" w:rsidRPr="00EF641E" w:rsidRDefault="00EF641E" w:rsidP="00EF641E">
      <w:pPr>
        <w:shd w:val="clear" w:color="auto" w:fill="FFFFFF"/>
        <w:spacing w:line="250" w:lineRule="exact"/>
        <w:ind w:left="10" w:right="24" w:firstLine="725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согласност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актот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формацијата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по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потреба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служ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ба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Министерството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одбрана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вообичаена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практика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воените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>-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офицери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подофицери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професионални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војници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наредба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бидат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поста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ву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вани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едно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друго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формациско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место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што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овозможува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одржување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бор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бената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готовност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потребното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ниво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EF641E" w:rsidRPr="00EF641E" w:rsidRDefault="00EF641E" w:rsidP="00EF641E">
      <w:pPr>
        <w:shd w:val="clear" w:color="auto" w:fill="FFFFFF"/>
        <w:spacing w:line="250" w:lineRule="exact"/>
        <w:ind w:right="14" w:firstLine="725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4"/>
          <w:sz w:val="24"/>
          <w:szCs w:val="24"/>
        </w:rPr>
        <w:t>Известуваме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дека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поради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општопознатите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потребни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реформи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Македонија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според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стандардите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поради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структурни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промени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актот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формацијата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има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случаи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трансформација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одделни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единици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команди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кои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бараат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промена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должностите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или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намалување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обемот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работата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укинување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формациски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места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ваквите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случаи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воените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поставуваат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други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должности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согласно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актот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форма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ци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упатуваат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работа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други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единици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EF641E" w:rsidRPr="00EF641E" w:rsidRDefault="00EF641E" w:rsidP="00EF641E">
      <w:pPr>
        <w:shd w:val="clear" w:color="auto" w:fill="FFFFFF"/>
        <w:spacing w:line="250" w:lineRule="exact"/>
        <w:ind w:right="19" w:firstLine="730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овој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момент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>, 8 (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осум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)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офицери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5 (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пет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)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подофицери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албанската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наци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налност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упатени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работа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други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единици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професионални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војници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ал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ба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нската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националност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поставени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соодветни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должности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посто</w:t>
      </w:r>
      <w:r w:rsidR="0010742C">
        <w:rPr>
          <w:rFonts w:ascii="Arial" w:hAnsi="Arial" w:cs="Arial"/>
          <w:color w:val="000000"/>
          <w:w w:val="95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јната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формација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EF641E" w:rsidRPr="00EF641E" w:rsidRDefault="00EF641E" w:rsidP="0010742C">
      <w:pPr>
        <w:shd w:val="clear" w:color="auto" w:fill="FFFFFF"/>
        <w:spacing w:line="250" w:lineRule="exact"/>
        <w:ind w:right="19" w:firstLine="725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5"/>
          <w:sz w:val="24"/>
          <w:szCs w:val="24"/>
        </w:rPr>
        <w:t>Напоменуваме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дека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има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воени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офицери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подофицери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профе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сио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10742C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лни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војници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националност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македонци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како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другите</w:t>
      </w:r>
      <w:r w:rsidR="0058475F">
        <w:rPr>
          <w:rFonts w:ascii="Arial" w:hAnsi="Arial" w:cs="Arial"/>
          <w:color w:val="000000"/>
          <w:w w:val="94"/>
          <w:sz w:val="24"/>
          <w:szCs w:val="24"/>
          <w:lang w:val="en-US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националности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кои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исто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така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упатени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работа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други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единици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напред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4"/>
          <w:sz w:val="24"/>
          <w:szCs w:val="24"/>
        </w:rPr>
        <w:t>наведените</w:t>
      </w:r>
      <w:r w:rsidR="0058475F">
        <w:rPr>
          <w:rFonts w:ascii="Arial" w:hAnsi="Arial" w:cs="Arial"/>
          <w:color w:val="000000"/>
          <w:spacing w:val="-1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4"/>
          <w:sz w:val="24"/>
          <w:szCs w:val="24"/>
        </w:rPr>
        <w:t>причини</w:t>
      </w:r>
      <w:r w:rsidR="0058475F">
        <w:rPr>
          <w:rFonts w:ascii="Arial" w:hAnsi="Arial" w:cs="Arial"/>
          <w:color w:val="000000"/>
          <w:spacing w:val="-1"/>
          <w:w w:val="94"/>
          <w:sz w:val="24"/>
          <w:szCs w:val="24"/>
        </w:rPr>
        <w:t>.</w:t>
      </w:r>
    </w:p>
    <w:p w:rsidR="00EF641E" w:rsidRPr="00EF641E" w:rsidRDefault="00EF641E" w:rsidP="00EF641E">
      <w:pPr>
        <w:shd w:val="clear" w:color="auto" w:fill="FFFFFF"/>
        <w:spacing w:line="250" w:lineRule="exact"/>
        <w:ind w:left="19" w:right="10" w:firstLine="730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4"/>
          <w:sz w:val="24"/>
          <w:szCs w:val="24"/>
        </w:rPr>
        <w:t>По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усвојувањето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новата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структура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силите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предвидува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овие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бидат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поставени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соодветни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формациски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должности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АРМ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EF641E" w:rsidRPr="00EF641E" w:rsidRDefault="00EF641E" w:rsidP="00EF641E">
      <w:pPr>
        <w:shd w:val="clear" w:color="auto" w:fill="FFFFFF"/>
        <w:spacing w:line="250" w:lineRule="exact"/>
        <w:ind w:left="24" w:right="19" w:firstLine="715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однос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барањето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изработи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достави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листа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податоци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поставување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офицери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подофицери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професионални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војници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албанската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националност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соодветни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формациски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места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известуваме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дека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Министе</w:t>
      </w:r>
      <w:r w:rsidR="0010742C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рс</w:t>
      </w:r>
      <w:r w:rsidR="0010742C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твото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одбрана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може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даде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вакви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податоци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следните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причини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>:</w:t>
      </w:r>
    </w:p>
    <w:p w:rsidR="00EF641E" w:rsidRPr="00EF641E" w:rsidRDefault="00EF641E" w:rsidP="00EF641E">
      <w:pPr>
        <w:shd w:val="clear" w:color="auto" w:fill="FFFFFF"/>
        <w:spacing w:line="250" w:lineRule="exact"/>
        <w:ind w:left="14" w:right="14" w:firstLine="701"/>
        <w:jc w:val="both"/>
        <w:rPr>
          <w:rFonts w:ascii="Arial" w:hAnsi="Arial" w:cs="Arial"/>
          <w:sz w:val="24"/>
          <w:szCs w:val="24"/>
        </w:rPr>
      </w:pPr>
      <w:r w:rsidRPr="00EF641E">
        <w:rPr>
          <w:rFonts w:ascii="Arial" w:hAnsi="Arial" w:cs="Arial"/>
          <w:color w:val="000000"/>
          <w:w w:val="93"/>
          <w:sz w:val="24"/>
          <w:szCs w:val="24"/>
        </w:rPr>
        <w:t>Актот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формацијата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Армијата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документ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кој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класифициран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соодве</w:t>
      </w:r>
      <w:r w:rsidR="0010742C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тен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степен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класификација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претставува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кпасифициран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податок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Поставувањето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воените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соодветно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формациско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место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нивната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лична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ВЕС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другите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услови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бараат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соодветното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формациско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место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исто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така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претставува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класифициран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податок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соодветен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степен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класификација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поради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што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разб</w:t>
      </w:r>
      <w:r w:rsidR="0010742C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ир</w:t>
      </w:r>
      <w:r w:rsidR="0010742C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ливи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причини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вакви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податоци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јавно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даваат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ниту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објавуваат</w:t>
      </w:r>
    </w:p>
    <w:p w:rsidR="000822D9" w:rsidRDefault="00EF641E" w:rsidP="0010742C">
      <w:pPr>
        <w:shd w:val="clear" w:color="auto" w:fill="FFFFFF"/>
        <w:spacing w:line="250" w:lineRule="exact"/>
        <w:ind w:right="24" w:firstLine="720"/>
        <w:jc w:val="both"/>
      </w:pPr>
      <w:r w:rsidRPr="00EF641E">
        <w:rPr>
          <w:rFonts w:ascii="Arial" w:hAnsi="Arial" w:cs="Arial"/>
          <w:color w:val="000000"/>
          <w:w w:val="93"/>
          <w:sz w:val="24"/>
          <w:szCs w:val="24"/>
        </w:rPr>
        <w:t>Известуваме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дека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Министерството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одбрана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3"/>
          <w:sz w:val="24"/>
          <w:szCs w:val="24"/>
        </w:rPr>
        <w:t>АРМ</w:t>
      </w:r>
      <w:r w:rsidR="0058475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континуирано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рамките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законската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регулатива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води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сметка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статусот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воените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лица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односно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можноста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ги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остваруваат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правата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кои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врз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основа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Закон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им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припаѓаат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при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што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ниту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еден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случај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не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прави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разлика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по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однос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58475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националната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F641E">
        <w:rPr>
          <w:rFonts w:ascii="Arial" w:hAnsi="Arial" w:cs="Arial"/>
          <w:color w:val="000000"/>
          <w:spacing w:val="-1"/>
          <w:w w:val="95"/>
          <w:sz w:val="24"/>
          <w:szCs w:val="24"/>
        </w:rPr>
        <w:t>припадност</w:t>
      </w:r>
      <w:r w:rsidR="0058475F">
        <w:rPr>
          <w:rFonts w:ascii="Arial" w:hAnsi="Arial" w:cs="Arial"/>
          <w:color w:val="000000"/>
          <w:spacing w:val="-1"/>
          <w:w w:val="95"/>
          <w:sz w:val="24"/>
          <w:szCs w:val="24"/>
        </w:rPr>
        <w:t>.</w:t>
      </w:r>
    </w:p>
    <w:sectPr w:rsidR="000822D9" w:rsidSect="00082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641E"/>
    <w:rsid w:val="000822D9"/>
    <w:rsid w:val="000C0AAB"/>
    <w:rsid w:val="0010742C"/>
    <w:rsid w:val="0058475F"/>
    <w:rsid w:val="005B1850"/>
    <w:rsid w:val="00E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2009-02-26T07:40:00Z</dcterms:created>
  <dcterms:modified xsi:type="dcterms:W3CDTF">2009-07-06T07:17:00Z</dcterms:modified>
</cp:coreProperties>
</file>