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3AED0" w14:textId="77777777" w:rsidR="0001737F" w:rsidRDefault="0001737F" w:rsidP="0001737F">
      <w:pPr>
        <w:pBdr>
          <w:top w:val="single" w:sz="6" w:space="0" w:color="000000"/>
          <w:left w:val="single" w:sz="6" w:space="0" w:color="000000"/>
          <w:bottom w:val="single" w:sz="6" w:space="31" w:color="000000"/>
          <w:right w:val="single" w:sz="6" w:space="0" w:color="000000"/>
        </w:pBdr>
        <w:shd w:val="clear" w:color="auto" w:fill="F2F2F2"/>
        <w:jc w:val="center"/>
        <w:rPr>
          <w:rFonts w:ascii="Times New Roman" w:eastAsia="Corbel" w:hAnsi="Times New Roman" w:cs="Times New Roman"/>
          <w:b/>
          <w:bCs/>
          <w:sz w:val="32"/>
          <w:szCs w:val="32"/>
        </w:rPr>
      </w:pPr>
    </w:p>
    <w:p w14:paraId="011A080B" w14:textId="77777777" w:rsidR="003F7C69" w:rsidRPr="00B446BF" w:rsidRDefault="003F7C69" w:rsidP="0001737F">
      <w:pPr>
        <w:pBdr>
          <w:top w:val="single" w:sz="6" w:space="0" w:color="000000"/>
          <w:left w:val="single" w:sz="6" w:space="0" w:color="000000"/>
          <w:bottom w:val="single" w:sz="6" w:space="31" w:color="000000"/>
          <w:right w:val="single" w:sz="6" w:space="0" w:color="000000"/>
        </w:pBdr>
        <w:shd w:val="clear" w:color="auto" w:fill="F2F2F2"/>
        <w:jc w:val="center"/>
        <w:rPr>
          <w:rFonts w:ascii="Times New Roman" w:eastAsia="Corbel" w:hAnsi="Times New Roman" w:cs="Times New Roman"/>
          <w:b/>
          <w:bCs/>
          <w:sz w:val="32"/>
          <w:szCs w:val="32"/>
        </w:rPr>
      </w:pPr>
    </w:p>
    <w:p w14:paraId="6B765420" w14:textId="77777777" w:rsidR="0001737F" w:rsidRPr="00B446BF" w:rsidRDefault="0001737F" w:rsidP="0001737F">
      <w:pPr>
        <w:pBdr>
          <w:top w:val="single" w:sz="6" w:space="0" w:color="000000"/>
          <w:left w:val="single" w:sz="6" w:space="0" w:color="000000"/>
          <w:bottom w:val="single" w:sz="6" w:space="31" w:color="000000"/>
          <w:right w:val="single" w:sz="6" w:space="0" w:color="000000"/>
        </w:pBdr>
        <w:shd w:val="clear" w:color="auto" w:fill="F2F2F2"/>
        <w:jc w:val="center"/>
        <w:rPr>
          <w:rFonts w:ascii="Times New Roman" w:eastAsia="Corbel" w:hAnsi="Times New Roman" w:cs="Times New Roman"/>
          <w:b/>
          <w:bCs/>
          <w:sz w:val="32"/>
          <w:szCs w:val="32"/>
          <w:lang w:val="mk-MK"/>
        </w:rPr>
      </w:pPr>
      <w:r w:rsidRPr="00B446BF">
        <w:rPr>
          <w:rFonts w:ascii="Times New Roman" w:eastAsia="Corbel" w:hAnsi="Times New Roman" w:cs="Times New Roman"/>
          <w:b/>
          <w:bCs/>
          <w:sz w:val="32"/>
          <w:szCs w:val="32"/>
          <w:lang w:val="mk-MK"/>
        </w:rPr>
        <w:t>ЕВРОПСКА УНИЈА – СЕВЕРНА МАКЕДОНИЈА</w:t>
      </w:r>
    </w:p>
    <w:p w14:paraId="3586456A" w14:textId="77777777" w:rsidR="0001737F" w:rsidRPr="00B446BF" w:rsidRDefault="0001737F" w:rsidP="0001737F">
      <w:pPr>
        <w:pBdr>
          <w:top w:val="single" w:sz="6" w:space="0" w:color="000000"/>
          <w:left w:val="single" w:sz="6" w:space="0" w:color="000000"/>
          <w:bottom w:val="single" w:sz="6" w:space="31" w:color="000000"/>
          <w:right w:val="single" w:sz="6" w:space="0" w:color="000000"/>
        </w:pBdr>
        <w:shd w:val="clear" w:color="auto" w:fill="F2F2F2"/>
        <w:jc w:val="center"/>
        <w:rPr>
          <w:rFonts w:ascii="Times New Roman" w:eastAsia="Corbel" w:hAnsi="Times New Roman" w:cs="Times New Roman"/>
          <w:b/>
          <w:bCs/>
          <w:sz w:val="32"/>
          <w:szCs w:val="32"/>
          <w:lang w:val="mk-MK"/>
        </w:rPr>
      </w:pPr>
      <w:r w:rsidRPr="00B446BF">
        <w:rPr>
          <w:rFonts w:ascii="Times New Roman" w:eastAsia="Corbel" w:hAnsi="Times New Roman" w:cs="Times New Roman"/>
          <w:b/>
          <w:bCs/>
          <w:sz w:val="32"/>
          <w:szCs w:val="32"/>
          <w:lang w:val="mk-MK"/>
        </w:rPr>
        <w:t>МЕШОВИТ ПАРЛАМЕНТАРЕН КОМИТЕТ</w:t>
      </w:r>
    </w:p>
    <w:p w14:paraId="7B21BBA9" w14:textId="5EE99269" w:rsidR="0001737F" w:rsidRPr="00CD3BAB" w:rsidRDefault="0001737F" w:rsidP="0001737F">
      <w:pPr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 w:rsidRPr="00CD3BAB">
        <w:rPr>
          <w:rFonts w:ascii="Times New Roman" w:hAnsi="Times New Roman" w:cs="Times New Roman"/>
          <w:sz w:val="24"/>
          <w:szCs w:val="24"/>
          <w:lang w:val="mk-MK"/>
        </w:rPr>
        <w:t>2</w:t>
      </w:r>
      <w:r w:rsidRPr="0001737F">
        <w:rPr>
          <w:rFonts w:ascii="Times New Roman" w:hAnsi="Times New Roman" w:cs="Times New Roman"/>
          <w:sz w:val="24"/>
          <w:szCs w:val="24"/>
          <w:lang w:val="mk-MK"/>
        </w:rPr>
        <w:t>4</w:t>
      </w:r>
      <w:r>
        <w:rPr>
          <w:rFonts w:ascii="Times New Roman" w:hAnsi="Times New Roman" w:cs="Times New Roman"/>
          <w:sz w:val="24"/>
          <w:szCs w:val="24"/>
          <w:lang w:val="mk-MK"/>
        </w:rPr>
        <w:t>-ти</w:t>
      </w:r>
      <w:r w:rsidRPr="00CD3BAB">
        <w:rPr>
          <w:rFonts w:ascii="Times New Roman" w:hAnsi="Times New Roman" w:cs="Times New Roman"/>
          <w:sz w:val="24"/>
          <w:szCs w:val="24"/>
          <w:lang w:val="mk-MK"/>
        </w:rPr>
        <w:t xml:space="preserve"> состанок</w:t>
      </w:r>
    </w:p>
    <w:p w14:paraId="58293F86" w14:textId="614F8B97" w:rsidR="0001737F" w:rsidRPr="00867C6D" w:rsidRDefault="0001737F" w:rsidP="0001737F">
      <w:pPr>
        <w:ind w:left="-567" w:right="-96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sz w:val="24"/>
          <w:szCs w:val="24"/>
          <w:lang w:val="mk-MK"/>
        </w:rPr>
        <w:t>26 – 27 ноември</w:t>
      </w:r>
      <w:r w:rsidRPr="00867C6D">
        <w:rPr>
          <w:rFonts w:ascii="Times New Roman" w:hAnsi="Times New Roman" w:cs="Times New Roman"/>
          <w:b/>
          <w:sz w:val="24"/>
          <w:szCs w:val="24"/>
          <w:lang w:val="mk-MK"/>
        </w:rPr>
        <w:t xml:space="preserve"> </w:t>
      </w:r>
      <w:r w:rsidRPr="00CD3BAB">
        <w:rPr>
          <w:rFonts w:ascii="Times New Roman" w:hAnsi="Times New Roman" w:cs="Times New Roman"/>
          <w:b/>
          <w:sz w:val="24"/>
          <w:szCs w:val="24"/>
          <w:lang w:val="mk-MK"/>
        </w:rPr>
        <w:t>202</w:t>
      </w:r>
      <w:r w:rsidRPr="00867C6D">
        <w:rPr>
          <w:rFonts w:ascii="Times New Roman" w:hAnsi="Times New Roman" w:cs="Times New Roman"/>
          <w:b/>
          <w:sz w:val="24"/>
          <w:szCs w:val="24"/>
          <w:lang w:val="mk-MK"/>
        </w:rPr>
        <w:t>5</w:t>
      </w:r>
      <w:r w:rsidRPr="00CD3BAB">
        <w:rPr>
          <w:rFonts w:ascii="Times New Roman" w:hAnsi="Times New Roman" w:cs="Times New Roman"/>
          <w:b/>
          <w:sz w:val="24"/>
          <w:szCs w:val="24"/>
          <w:lang w:val="mk-MK"/>
        </w:rPr>
        <w:t xml:space="preserve"> година</w:t>
      </w:r>
      <w:r w:rsidRPr="00867C6D">
        <w:rPr>
          <w:rFonts w:ascii="Times New Roman" w:hAnsi="Times New Roman" w:cs="Times New Roman"/>
          <w:b/>
          <w:sz w:val="24"/>
          <w:szCs w:val="24"/>
          <w:lang w:val="mk-MK"/>
        </w:rPr>
        <w:t>, С</w:t>
      </w:r>
      <w:r>
        <w:rPr>
          <w:rFonts w:ascii="Times New Roman" w:hAnsi="Times New Roman" w:cs="Times New Roman"/>
          <w:b/>
          <w:sz w:val="24"/>
          <w:szCs w:val="24"/>
          <w:lang w:val="mk-MK"/>
        </w:rPr>
        <w:t>тразбур</w:t>
      </w:r>
    </w:p>
    <w:p w14:paraId="4176DEB5" w14:textId="77777777" w:rsidR="0001737F" w:rsidRPr="00CD3BAB" w:rsidRDefault="0001737F" w:rsidP="0001737F">
      <w:pPr>
        <w:jc w:val="center"/>
        <w:rPr>
          <w:rFonts w:ascii="Times New Roman" w:hAnsi="Times New Roman" w:cs="Times New Roman"/>
          <w:sz w:val="24"/>
          <w:szCs w:val="24"/>
          <w:lang w:val="mk-MK"/>
        </w:rPr>
      </w:pPr>
    </w:p>
    <w:p w14:paraId="30720C0F" w14:textId="0CB536A7" w:rsidR="0001737F" w:rsidRPr="00F44CF7" w:rsidRDefault="00F44CF7" w:rsidP="00EE643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F44CF7">
        <w:rPr>
          <w:rFonts w:ascii="Times New Roman" w:hAnsi="Times New Roman" w:cs="Times New Roman"/>
          <w:b/>
          <w:bCs/>
          <w:sz w:val="24"/>
          <w:szCs w:val="24"/>
          <w:lang w:val="mk-MK"/>
        </w:rPr>
        <w:t>ЗАЕДНИЧКИ ПРЕПОРАКИ</w:t>
      </w:r>
    </w:p>
    <w:p w14:paraId="22455EE3" w14:textId="2E35E3FB" w:rsidR="0001737F" w:rsidRPr="00CD3BAB" w:rsidRDefault="0001737F" w:rsidP="0001737F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CD3BAB">
        <w:rPr>
          <w:rFonts w:ascii="Times New Roman" w:hAnsi="Times New Roman" w:cs="Times New Roman"/>
          <w:sz w:val="24"/>
          <w:szCs w:val="24"/>
          <w:lang w:val="mk-MK"/>
        </w:rPr>
        <w:t xml:space="preserve">Мешовитиот парламентарен комитет го одржа својот </w:t>
      </w:r>
      <w:r>
        <w:rPr>
          <w:rFonts w:ascii="Times New Roman" w:hAnsi="Times New Roman" w:cs="Times New Roman"/>
          <w:sz w:val="24"/>
          <w:szCs w:val="24"/>
          <w:lang w:val="mk-MK"/>
        </w:rPr>
        <w:t>4</w:t>
      </w:r>
      <w:r w:rsidRPr="00867C6D">
        <w:rPr>
          <w:rFonts w:ascii="Times New Roman" w:hAnsi="Times New Roman" w:cs="Times New Roman"/>
          <w:sz w:val="24"/>
          <w:szCs w:val="24"/>
          <w:lang w:val="mk-MK"/>
        </w:rPr>
        <w:t>3</w:t>
      </w:r>
      <w:r>
        <w:rPr>
          <w:rFonts w:ascii="Times New Roman" w:hAnsi="Times New Roman" w:cs="Times New Roman"/>
          <w:sz w:val="24"/>
          <w:szCs w:val="24"/>
          <w:lang w:val="mk-MK"/>
        </w:rPr>
        <w:t>-ти</w:t>
      </w:r>
      <w:r w:rsidRPr="00CD3BAB">
        <w:rPr>
          <w:rFonts w:ascii="Times New Roman" w:hAnsi="Times New Roman" w:cs="Times New Roman"/>
          <w:sz w:val="24"/>
          <w:szCs w:val="24"/>
          <w:lang w:val="mk-MK"/>
        </w:rPr>
        <w:t xml:space="preserve"> состанок во С</w:t>
      </w:r>
      <w:r>
        <w:rPr>
          <w:rFonts w:ascii="Times New Roman" w:hAnsi="Times New Roman" w:cs="Times New Roman"/>
          <w:sz w:val="24"/>
          <w:szCs w:val="24"/>
          <w:lang w:val="mk-MK"/>
        </w:rPr>
        <w:t>тразбур</w:t>
      </w:r>
      <w:r w:rsidRPr="00CD3BAB">
        <w:rPr>
          <w:rFonts w:ascii="Times New Roman" w:hAnsi="Times New Roman" w:cs="Times New Roman"/>
          <w:sz w:val="24"/>
          <w:szCs w:val="24"/>
          <w:lang w:val="mk-MK"/>
        </w:rPr>
        <w:t xml:space="preserve"> на 2</w:t>
      </w:r>
      <w:r>
        <w:rPr>
          <w:rFonts w:ascii="Times New Roman" w:hAnsi="Times New Roman" w:cs="Times New Roman"/>
          <w:sz w:val="24"/>
          <w:szCs w:val="24"/>
          <w:lang w:val="mk-MK"/>
        </w:rPr>
        <w:t>6</w:t>
      </w:r>
      <w:r w:rsidRPr="00867C6D">
        <w:rPr>
          <w:rFonts w:ascii="Times New Roman" w:hAnsi="Times New Roman" w:cs="Times New Roman"/>
          <w:sz w:val="24"/>
          <w:szCs w:val="24"/>
          <w:lang w:val="mk-MK"/>
        </w:rPr>
        <w:t xml:space="preserve"> и </w:t>
      </w:r>
      <w:r w:rsidRPr="00CD3BAB">
        <w:rPr>
          <w:rFonts w:ascii="Times New Roman" w:hAnsi="Times New Roman" w:cs="Times New Roman"/>
          <w:sz w:val="24"/>
          <w:szCs w:val="24"/>
          <w:lang w:val="mk-MK"/>
        </w:rPr>
        <w:t>2</w:t>
      </w:r>
      <w:r>
        <w:rPr>
          <w:rFonts w:ascii="Times New Roman" w:hAnsi="Times New Roman" w:cs="Times New Roman"/>
          <w:sz w:val="24"/>
          <w:szCs w:val="24"/>
          <w:lang w:val="mk-MK"/>
        </w:rPr>
        <w:t>7 ноември</w:t>
      </w:r>
      <w:r w:rsidRPr="00CD3BAB">
        <w:rPr>
          <w:rFonts w:ascii="Times New Roman" w:hAnsi="Times New Roman" w:cs="Times New Roman"/>
          <w:sz w:val="24"/>
          <w:szCs w:val="24"/>
          <w:lang w:val="mk-MK"/>
        </w:rPr>
        <w:t xml:space="preserve"> 202</w:t>
      </w:r>
      <w:r w:rsidRPr="00867C6D">
        <w:rPr>
          <w:rFonts w:ascii="Times New Roman" w:hAnsi="Times New Roman" w:cs="Times New Roman"/>
          <w:sz w:val="24"/>
          <w:szCs w:val="24"/>
          <w:lang w:val="mk-MK"/>
        </w:rPr>
        <w:t>5</w:t>
      </w:r>
      <w:r w:rsidRPr="00CD3BAB">
        <w:rPr>
          <w:rFonts w:ascii="Times New Roman" w:hAnsi="Times New Roman" w:cs="Times New Roman"/>
          <w:sz w:val="24"/>
          <w:szCs w:val="24"/>
          <w:lang w:val="mk-MK"/>
        </w:rPr>
        <w:t xml:space="preserve"> година под заедничко претседавање на </w:t>
      </w:r>
      <w:r w:rsidRPr="00CD3BAB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г. </w:t>
      </w:r>
      <w:r w:rsidRPr="00867C6D">
        <w:rPr>
          <w:rFonts w:ascii="Times New Roman" w:hAnsi="Times New Roman" w:cs="Times New Roman"/>
          <w:b/>
          <w:bCs/>
          <w:sz w:val="24"/>
          <w:szCs w:val="24"/>
          <w:lang w:val="mk-MK"/>
        </w:rPr>
        <w:t>Карло</w:t>
      </w:r>
      <w:r w:rsidRPr="00CD3BAB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</w:t>
      </w:r>
      <w:r w:rsidRPr="00867C6D">
        <w:rPr>
          <w:rFonts w:ascii="Times New Roman" w:hAnsi="Times New Roman" w:cs="Times New Roman"/>
          <w:b/>
          <w:bCs/>
          <w:sz w:val="24"/>
          <w:szCs w:val="24"/>
          <w:lang w:val="mk-MK"/>
        </w:rPr>
        <w:t>РЕСЛЕР</w:t>
      </w:r>
      <w:r w:rsidRPr="00867C6D">
        <w:rPr>
          <w:rFonts w:ascii="Times New Roman" w:hAnsi="Times New Roman" w:cs="Times New Roman"/>
          <w:sz w:val="24"/>
          <w:szCs w:val="24"/>
          <w:lang w:val="mk-MK"/>
        </w:rPr>
        <w:t xml:space="preserve"> (ЕПП</w:t>
      </w:r>
      <w:r>
        <w:rPr>
          <w:rFonts w:ascii="Times New Roman" w:hAnsi="Times New Roman" w:cs="Times New Roman"/>
          <w:sz w:val="24"/>
          <w:szCs w:val="24"/>
          <w:lang w:val="mk-MK"/>
        </w:rPr>
        <w:t>, Хрватска</w:t>
      </w:r>
      <w:r w:rsidRPr="00867C6D">
        <w:rPr>
          <w:rFonts w:ascii="Times New Roman" w:hAnsi="Times New Roman" w:cs="Times New Roman"/>
          <w:sz w:val="24"/>
          <w:szCs w:val="24"/>
          <w:lang w:val="mk-MK"/>
        </w:rPr>
        <w:t xml:space="preserve">) и </w:t>
      </w:r>
      <w:r w:rsidRPr="00CD3BAB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г-ѓа </w:t>
      </w:r>
      <w:r w:rsidRPr="00867C6D">
        <w:rPr>
          <w:rFonts w:ascii="Times New Roman" w:hAnsi="Times New Roman" w:cs="Times New Roman"/>
          <w:b/>
          <w:bCs/>
          <w:sz w:val="24"/>
          <w:szCs w:val="24"/>
          <w:lang w:val="mk-MK"/>
        </w:rPr>
        <w:t>Иванка ВАСИЛЕВСКА</w:t>
      </w:r>
      <w:r w:rsidRPr="00CD3BAB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867C6D">
        <w:rPr>
          <w:rFonts w:ascii="Times New Roman" w:hAnsi="Times New Roman" w:cs="Times New Roman"/>
          <w:sz w:val="24"/>
          <w:szCs w:val="24"/>
          <w:lang w:val="mk-MK"/>
        </w:rPr>
        <w:t>(ВМРО-ДПМНЕ</w:t>
      </w:r>
      <w:r>
        <w:rPr>
          <w:rFonts w:ascii="Times New Roman" w:hAnsi="Times New Roman" w:cs="Times New Roman"/>
          <w:sz w:val="24"/>
          <w:szCs w:val="24"/>
          <w:lang w:val="mk-MK"/>
        </w:rPr>
        <w:t>, Северна Македонија</w:t>
      </w:r>
      <w:r w:rsidRPr="00867C6D">
        <w:rPr>
          <w:rFonts w:ascii="Times New Roman" w:hAnsi="Times New Roman" w:cs="Times New Roman"/>
          <w:sz w:val="24"/>
          <w:szCs w:val="24"/>
          <w:lang w:val="mk-MK"/>
        </w:rPr>
        <w:t>)</w:t>
      </w:r>
      <w:r w:rsidRPr="00CD3BAB">
        <w:rPr>
          <w:rFonts w:ascii="Times New Roman" w:hAnsi="Times New Roman" w:cs="Times New Roman"/>
          <w:sz w:val="24"/>
          <w:szCs w:val="24"/>
          <w:lang w:val="mk-MK"/>
        </w:rPr>
        <w:t xml:space="preserve">. </w:t>
      </w:r>
    </w:p>
    <w:p w14:paraId="5A55F039" w14:textId="77777777" w:rsidR="0001737F" w:rsidRDefault="0001737F" w:rsidP="0001737F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CD3BAB">
        <w:rPr>
          <w:rFonts w:ascii="Times New Roman" w:hAnsi="Times New Roman" w:cs="Times New Roman"/>
          <w:sz w:val="24"/>
          <w:szCs w:val="24"/>
          <w:lang w:val="mk-MK"/>
        </w:rPr>
        <w:t>На оваа седница Комитетот оствари размена на мислења со:</w:t>
      </w:r>
    </w:p>
    <w:p w14:paraId="1D02E4EB" w14:textId="77777777" w:rsidR="0001737F" w:rsidRPr="00CD3BAB" w:rsidRDefault="0001737F" w:rsidP="0001737F">
      <w:pPr>
        <w:numPr>
          <w:ilvl w:val="0"/>
          <w:numId w:val="1"/>
        </w:numPr>
        <w:spacing w:after="0" w:line="240" w:lineRule="auto"/>
        <w:ind w:left="900" w:right="-96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DD51C7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Г. Тимчо МУЦУНСКИ, </w:t>
      </w:r>
      <w:r w:rsidRPr="00DD51C7">
        <w:rPr>
          <w:rFonts w:ascii="Times New Roman" w:hAnsi="Times New Roman" w:cs="Times New Roman"/>
          <w:sz w:val="24"/>
          <w:szCs w:val="24"/>
          <w:lang w:val="mk-MK"/>
        </w:rPr>
        <w:t>министер за надворешни работи и надворешна трговија</w:t>
      </w:r>
      <w:r w:rsidRPr="00DD51C7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</w:t>
      </w:r>
      <w:r w:rsidRPr="007B2CF9">
        <w:rPr>
          <w:rFonts w:ascii="Times New Roman" w:hAnsi="Times New Roman" w:cs="Times New Roman"/>
          <w:sz w:val="24"/>
          <w:szCs w:val="24"/>
          <w:lang w:val="mk-MK"/>
        </w:rPr>
        <w:t>и</w:t>
      </w:r>
      <w:r w:rsidRPr="00DD51C7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г. Орхан МУРТЕЗАНИ,</w:t>
      </w:r>
      <w:r w:rsidRPr="00DD51C7">
        <w:rPr>
          <w:rFonts w:ascii="Times New Roman" w:hAnsi="Times New Roman" w:cs="Times New Roman"/>
          <w:sz w:val="24"/>
          <w:szCs w:val="24"/>
          <w:lang w:val="mk-MK"/>
        </w:rPr>
        <w:t xml:space="preserve"> министер за европски прашања</w:t>
      </w:r>
      <w:r w:rsidRPr="00CD3BAB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mk-MK"/>
        </w:rPr>
        <w:t>во име на</w:t>
      </w:r>
      <w:r w:rsidRPr="00DD51C7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Владата на Северна Македонија</w:t>
      </w:r>
      <w:r w:rsidRPr="00CD3BAB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</w:t>
      </w:r>
    </w:p>
    <w:p w14:paraId="11875A9D" w14:textId="77777777" w:rsidR="00F44CF7" w:rsidRDefault="00F44CF7" w:rsidP="00F44CF7">
      <w:pPr>
        <w:numPr>
          <w:ilvl w:val="0"/>
          <w:numId w:val="1"/>
        </w:numPr>
        <w:spacing w:after="0" w:line="240" w:lineRule="auto"/>
        <w:ind w:left="900" w:right="-96"/>
        <w:jc w:val="both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F44CF7">
        <w:rPr>
          <w:rFonts w:ascii="Times New Roman" w:hAnsi="Times New Roman" w:cs="Times New Roman"/>
          <w:b/>
          <w:sz w:val="24"/>
          <w:szCs w:val="24"/>
          <w:lang w:val="mk-MK"/>
        </w:rPr>
        <w:t>г-ѓа Клара Силиус Родгард</w:t>
      </w:r>
      <w:r>
        <w:rPr>
          <w:rFonts w:ascii="Times New Roman" w:hAnsi="Times New Roman" w:cs="Times New Roman"/>
          <w:bCs/>
          <w:sz w:val="24"/>
          <w:szCs w:val="24"/>
          <w:lang w:val="mk-MK"/>
        </w:rPr>
        <w:t xml:space="preserve">, Советник, Постојана мисија на Данска во Европската Унија </w:t>
      </w:r>
      <w:r w:rsidR="0001737F">
        <w:rPr>
          <w:rFonts w:ascii="Times New Roman" w:hAnsi="Times New Roman" w:cs="Times New Roman"/>
          <w:bCs/>
          <w:sz w:val="24"/>
          <w:szCs w:val="24"/>
          <w:lang w:val="mk-MK"/>
        </w:rPr>
        <w:t>во име на данското</w:t>
      </w:r>
      <w:r w:rsidR="0001737F" w:rsidRPr="00DD51C7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претседателство со Советот</w:t>
      </w:r>
      <w:r w:rsidR="0001737F" w:rsidRPr="00CD3BAB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</w:t>
      </w:r>
      <w:r w:rsidR="0001737F" w:rsidRPr="00DD51C7">
        <w:rPr>
          <w:rFonts w:ascii="Times New Roman" w:hAnsi="Times New Roman" w:cs="Times New Roman"/>
          <w:bCs/>
          <w:sz w:val="24"/>
          <w:szCs w:val="24"/>
          <w:lang w:val="mk-MK"/>
        </w:rPr>
        <w:t>на ЕУ</w:t>
      </w:r>
    </w:p>
    <w:p w14:paraId="6704B961" w14:textId="77777777" w:rsidR="00F44CF7" w:rsidRDefault="00F44CF7" w:rsidP="00F44CF7">
      <w:pPr>
        <w:numPr>
          <w:ilvl w:val="0"/>
          <w:numId w:val="1"/>
        </w:numPr>
        <w:spacing w:after="0" w:line="240" w:lineRule="auto"/>
        <w:ind w:left="900" w:right="-96"/>
        <w:jc w:val="both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F44CF7">
        <w:rPr>
          <w:rFonts w:ascii="Times New Roman" w:hAnsi="Times New Roman" w:cs="Times New Roman"/>
          <w:b/>
          <w:bCs/>
          <w:sz w:val="24"/>
          <w:szCs w:val="24"/>
          <w:lang w:val="mk-MK"/>
        </w:rPr>
        <w:t>г</w:t>
      </w:r>
      <w:r w:rsidRPr="00F44CF7">
        <w:rPr>
          <w:rFonts w:ascii="Times New Roman" w:hAnsi="Times New Roman" w:cs="Times New Roman"/>
          <w:b/>
          <w:bCs/>
          <w:sz w:val="24"/>
          <w:szCs w:val="24"/>
          <w:lang w:val="mk-MK"/>
        </w:rPr>
        <w:t>-ѓа Сигрид Бретел</w:t>
      </w:r>
      <w:r w:rsidRPr="00F44CF7">
        <w:rPr>
          <w:rFonts w:ascii="Times New Roman" w:hAnsi="Times New Roman" w:cs="Times New Roman"/>
          <w:sz w:val="24"/>
          <w:szCs w:val="24"/>
          <w:lang w:val="mk-MK"/>
        </w:rPr>
        <w:t>, раководител на Одделот за Албанија/Северна Македонија, Генерален директорат за надворешни работи и развој, Европска комисија</w:t>
      </w:r>
    </w:p>
    <w:p w14:paraId="2DED98AB" w14:textId="1ED8D17F" w:rsidR="0001737F" w:rsidRDefault="00F44CF7" w:rsidP="0001737F">
      <w:pPr>
        <w:numPr>
          <w:ilvl w:val="0"/>
          <w:numId w:val="1"/>
        </w:numPr>
        <w:spacing w:after="0" w:line="240" w:lineRule="auto"/>
        <w:ind w:left="900" w:right="-96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F44CF7">
        <w:rPr>
          <w:rFonts w:ascii="Times New Roman" w:hAnsi="Times New Roman" w:cs="Times New Roman"/>
          <w:b/>
          <w:bCs/>
          <w:sz w:val="24"/>
          <w:szCs w:val="24"/>
          <w:lang w:val="mk-MK"/>
        </w:rPr>
        <w:t>г-ѓа Зузана Михалкова-Сињакова</w:t>
      </w:r>
      <w:r w:rsidRPr="00F44CF7">
        <w:rPr>
          <w:rFonts w:ascii="Times New Roman" w:hAnsi="Times New Roman" w:cs="Times New Roman"/>
          <w:sz w:val="24"/>
          <w:szCs w:val="24"/>
          <w:lang w:val="mk-MK"/>
        </w:rPr>
        <w:t>, раководител на Одделот „Западен Балкан“, Европска служба за надворешни работи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. </w:t>
      </w:r>
    </w:p>
    <w:p w14:paraId="64D9A200" w14:textId="77777777" w:rsidR="00F44CF7" w:rsidRPr="00F44CF7" w:rsidRDefault="00F44CF7" w:rsidP="00F44CF7">
      <w:pPr>
        <w:spacing w:after="0" w:line="240" w:lineRule="auto"/>
        <w:ind w:left="900" w:right="-96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20C71F5A" w14:textId="77777777" w:rsidR="0079506F" w:rsidRDefault="0079506F" w:rsidP="0079506F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79506F">
        <w:rPr>
          <w:rFonts w:ascii="Times New Roman" w:hAnsi="Times New Roman" w:cs="Times New Roman"/>
          <w:sz w:val="24"/>
          <w:szCs w:val="24"/>
          <w:lang w:val="mk-MK"/>
        </w:rPr>
        <w:t>Мешовитиот парламентарен комитет размени мислења за односите меѓу Европската Унија и Северна Македонија, за основните права и слободата на говорот, владеењето на правото и борбата против корупцијата, перспективите за пристапни преговори, добрососедските односи, регионалната соработка и регионалната стабилност, прашањата за животната средина, транспортот, енергетската и инфраструктурната поврзаност, како и за вештачката интелигенција и дигитализацијата.</w:t>
      </w:r>
    </w:p>
    <w:p w14:paraId="1C6B2BC2" w14:textId="4DC1D9A3" w:rsidR="00EE6431" w:rsidRPr="003F7C69" w:rsidRDefault="00EE6431" w:rsidP="0079506F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EE6431">
        <w:rPr>
          <w:rFonts w:ascii="Times New Roman" w:hAnsi="Times New Roman" w:cs="Times New Roman"/>
          <w:sz w:val="24"/>
          <w:szCs w:val="24"/>
          <w:lang w:val="mk-MK"/>
        </w:rPr>
        <w:t>Мешовитиот парламентарен комитет, согласно член 3 од својот Деловник, им упатува на институциите на Северна Македонија и Европската Унија следниве препораки:</w:t>
      </w:r>
    </w:p>
    <w:p w14:paraId="6DDA85A4" w14:textId="26E37FEC" w:rsidR="00EE6431" w:rsidRPr="003F7C69" w:rsidRDefault="00EE6431" w:rsidP="00EE6431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3F7C69">
        <w:rPr>
          <w:rFonts w:ascii="Times New Roman" w:hAnsi="Times New Roman" w:cs="Times New Roman"/>
          <w:sz w:val="24"/>
          <w:szCs w:val="24"/>
          <w:lang w:val="mk-MK"/>
        </w:rPr>
        <w:t>Земајќи ги предвид:</w:t>
      </w:r>
    </w:p>
    <w:p w14:paraId="6485C3FC" w14:textId="120A9112" w:rsidR="00D91A95" w:rsidRPr="00D91A95" w:rsidRDefault="00EE6431" w:rsidP="00D91A95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F7C69">
        <w:rPr>
          <w:rFonts w:ascii="Times New Roman" w:hAnsi="Times New Roman" w:cs="Times New Roman"/>
          <w:sz w:val="24"/>
          <w:szCs w:val="24"/>
          <w:lang w:val="mk-MK"/>
        </w:rPr>
        <w:t xml:space="preserve">А. Заклучоците на Советот од 26 јуни 2018 година за процесот на проширување и стабилизација и асоцијација, од 25 март 2020 година за процесот на стабилизација и асоцијација, од 14 декември 2021 година за процесот на проширување и стабилизација и асоцијација, од 24 јуни 2022 година заклучоците на Советот за проширување - Северна Македонија и Албанија, од 18 јули 2022 година со кои се одобрува преговарачката рамка </w:t>
      </w:r>
      <w:r w:rsidRPr="003F7C69">
        <w:rPr>
          <w:rFonts w:ascii="Times New Roman" w:hAnsi="Times New Roman" w:cs="Times New Roman"/>
          <w:sz w:val="24"/>
          <w:szCs w:val="24"/>
          <w:lang w:val="mk-MK"/>
        </w:rPr>
        <w:lastRenderedPageBreak/>
        <w:t>со Северна Македонија и одржувањето на Меѓувладината конференција на 19 јули 2022 година;</w:t>
      </w:r>
    </w:p>
    <w:p w14:paraId="33319746" w14:textId="75ADAEEE" w:rsidR="00EE6431" w:rsidRPr="00D91A95" w:rsidRDefault="00EE6431" w:rsidP="00EE6431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D91A95">
        <w:rPr>
          <w:rFonts w:ascii="Times New Roman" w:hAnsi="Times New Roman" w:cs="Times New Roman"/>
          <w:sz w:val="24"/>
          <w:szCs w:val="24"/>
          <w:lang w:val="mk-MK"/>
        </w:rPr>
        <w:t>Б. Заклучоците на Советот за проширување од 17 декември 2024 година;</w:t>
      </w:r>
    </w:p>
    <w:p w14:paraId="2FEE5068" w14:textId="3A6C1D0E" w:rsidR="00D91A95" w:rsidRPr="00D91A95" w:rsidRDefault="00EE6431" w:rsidP="00D91A95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F7C69">
        <w:rPr>
          <w:rFonts w:ascii="Times New Roman" w:hAnsi="Times New Roman" w:cs="Times New Roman"/>
          <w:sz w:val="24"/>
          <w:szCs w:val="24"/>
          <w:lang w:val="mk-MK"/>
        </w:rPr>
        <w:t xml:space="preserve">В. Соопштението за Новиот план за раст за Западен Балкан (COM (2023) 691 </w:t>
      </w:r>
      <w:r w:rsidR="00F303F4">
        <w:rPr>
          <w:rFonts w:ascii="Times New Roman" w:hAnsi="Times New Roman" w:cs="Times New Roman"/>
          <w:sz w:val="24"/>
          <w:szCs w:val="24"/>
          <w:lang w:val="mk-MK"/>
        </w:rPr>
        <w:t>финален</w:t>
      </w:r>
      <w:r w:rsidRPr="003F7C69">
        <w:rPr>
          <w:rFonts w:ascii="Times New Roman" w:hAnsi="Times New Roman" w:cs="Times New Roman"/>
          <w:sz w:val="24"/>
          <w:szCs w:val="24"/>
          <w:lang w:val="mk-MK"/>
        </w:rPr>
        <w:t xml:space="preserve"> и Регулативата (ЕУ) 2024/1449 на Европскиот парламент и на Советот од 14 мај 2024 година за воспоставување на Механизмот за реформи и раст за Западен Балкан</w:t>
      </w:r>
      <w:r w:rsidR="00F303F4" w:rsidRPr="003F7C69">
        <w:rPr>
          <w:rFonts w:ascii="Times New Roman" w:hAnsi="Times New Roman" w:cs="Times New Roman"/>
          <w:sz w:val="24"/>
          <w:szCs w:val="24"/>
          <w:lang w:val="mk-MK"/>
        </w:rPr>
        <w:t>;</w:t>
      </w:r>
    </w:p>
    <w:p w14:paraId="6EE95666" w14:textId="60A380CB" w:rsidR="00D91A95" w:rsidRPr="00D91A95" w:rsidRDefault="00EE6431" w:rsidP="00EE6431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D91A95">
        <w:rPr>
          <w:rFonts w:ascii="Times New Roman" w:hAnsi="Times New Roman" w:cs="Times New Roman"/>
          <w:sz w:val="24"/>
          <w:szCs w:val="24"/>
          <w:lang w:val="mk-MK"/>
        </w:rPr>
        <w:t>Г. Стратешка агенда на ЕУ 2024-2029 од јуни 2024 година;</w:t>
      </w:r>
    </w:p>
    <w:p w14:paraId="288A1BE2" w14:textId="7B90DC5C" w:rsidR="00D91A95" w:rsidRPr="00D91A95" w:rsidRDefault="00EE6431" w:rsidP="00EE6431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D91A95">
        <w:rPr>
          <w:rFonts w:ascii="Times New Roman" w:hAnsi="Times New Roman" w:cs="Times New Roman"/>
          <w:sz w:val="24"/>
          <w:szCs w:val="24"/>
          <w:lang w:val="mk-MK"/>
        </w:rPr>
        <w:t>Д. Заклучоци на претседа</w:t>
      </w:r>
      <w:r w:rsidR="00D91A95">
        <w:rPr>
          <w:rFonts w:ascii="Times New Roman" w:hAnsi="Times New Roman" w:cs="Times New Roman"/>
          <w:sz w:val="24"/>
          <w:szCs w:val="24"/>
          <w:lang w:val="mk-MK"/>
        </w:rPr>
        <w:t>вачот</w:t>
      </w:r>
      <w:r w:rsidRPr="00D91A95">
        <w:rPr>
          <w:rFonts w:ascii="Times New Roman" w:hAnsi="Times New Roman" w:cs="Times New Roman"/>
          <w:sz w:val="24"/>
          <w:szCs w:val="24"/>
          <w:lang w:val="mk-MK"/>
        </w:rPr>
        <w:t xml:space="preserve"> од Самитот на Берлинскиот процес со претставници од Западен Балкан и земјите од ЕУ од 22 октомври 2025 година</w:t>
      </w:r>
      <w:r w:rsidR="00D91A95" w:rsidRPr="00D91A95">
        <w:rPr>
          <w:rFonts w:ascii="Times New Roman" w:hAnsi="Times New Roman" w:cs="Times New Roman"/>
          <w:sz w:val="24"/>
          <w:szCs w:val="24"/>
          <w:lang w:val="mk-MK"/>
        </w:rPr>
        <w:t>;</w:t>
      </w:r>
    </w:p>
    <w:p w14:paraId="58220F33" w14:textId="7F62B5D8" w:rsidR="00D91A95" w:rsidRPr="00D91A95" w:rsidRDefault="00F303F4" w:rsidP="00EE6431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Ѓ</w:t>
      </w:r>
      <w:r w:rsidR="00EE6431" w:rsidRPr="00D91A95">
        <w:rPr>
          <w:rFonts w:ascii="Times New Roman" w:hAnsi="Times New Roman" w:cs="Times New Roman"/>
          <w:sz w:val="24"/>
          <w:szCs w:val="24"/>
          <w:lang w:val="mk-MK"/>
        </w:rPr>
        <w:t>. 16-тиот состанок на Советот за стабилизација и асоцијација одржан за прв пат во Скопје, на 17 март 2023 година;</w:t>
      </w:r>
    </w:p>
    <w:p w14:paraId="049B9A20" w14:textId="08E72C90" w:rsidR="00D91A95" w:rsidRPr="00D91A95" w:rsidRDefault="00F303F4" w:rsidP="00EE6431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Е</w:t>
      </w:r>
      <w:r w:rsidR="00EE6431" w:rsidRPr="00D91A95">
        <w:rPr>
          <w:rFonts w:ascii="Times New Roman" w:hAnsi="Times New Roman" w:cs="Times New Roman"/>
          <w:sz w:val="24"/>
          <w:szCs w:val="24"/>
          <w:lang w:val="mk-MK"/>
        </w:rPr>
        <w:t>. Резолуцијата на Европскиот парламент од 24 октомври 2019 година за отворање преговори за пристапување со Северна Македонија и Албанија (2019/2883(RSP));</w:t>
      </w:r>
    </w:p>
    <w:p w14:paraId="70658A1F" w14:textId="27A544FD" w:rsidR="00D91A95" w:rsidRPr="00D91A95" w:rsidRDefault="00EE6431" w:rsidP="00EE6431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D91A95">
        <w:rPr>
          <w:rFonts w:ascii="Times New Roman" w:hAnsi="Times New Roman" w:cs="Times New Roman"/>
          <w:sz w:val="24"/>
          <w:szCs w:val="24"/>
          <w:lang w:val="mk-MK"/>
        </w:rPr>
        <w:t>Ж. Резолуцијата на Европскиот парламент од 9 јули 2025 година за извештаите на Комисијата за Северна Македонија за 2023 и 2024 година (2025/2021(INI));</w:t>
      </w:r>
    </w:p>
    <w:p w14:paraId="20E4B48A" w14:textId="0A546BFD" w:rsidR="00EE6431" w:rsidRPr="00D91A95" w:rsidRDefault="00F303F4" w:rsidP="00EE6431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З</w:t>
      </w:r>
      <w:r w:rsidR="00EE6431" w:rsidRPr="00D91A95">
        <w:rPr>
          <w:rFonts w:ascii="Times New Roman" w:hAnsi="Times New Roman" w:cs="Times New Roman"/>
          <w:sz w:val="24"/>
          <w:szCs w:val="24"/>
          <w:lang w:val="mk-MK"/>
        </w:rPr>
        <w:t>. Извештај на Европската комисија Северна Македонија 2025 година од 4 ноември 2025 година;</w:t>
      </w:r>
    </w:p>
    <w:p w14:paraId="3828BA04" w14:textId="63BF86B9" w:rsidR="00D91A95" w:rsidRDefault="00F303F4" w:rsidP="00EE6431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Ѕ</w:t>
      </w:r>
      <w:r w:rsidR="00EE6431" w:rsidRPr="003F7C69">
        <w:rPr>
          <w:rFonts w:ascii="Times New Roman" w:hAnsi="Times New Roman" w:cs="Times New Roman"/>
          <w:sz w:val="24"/>
          <w:szCs w:val="24"/>
          <w:lang w:val="mk-MK"/>
        </w:rPr>
        <w:t>. Препораките од 23-тиот состанок на Мешовитиот парламентарен комитет од 27-28 февруари 2025 година во Скопје;</w:t>
      </w:r>
    </w:p>
    <w:p w14:paraId="34D46284" w14:textId="77777777" w:rsidR="0079506F" w:rsidRDefault="0079506F" w:rsidP="00EE6431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02A28C7A" w14:textId="353FED35" w:rsidR="00D91A95" w:rsidRPr="00D91A95" w:rsidRDefault="00D91A95" w:rsidP="00D91A95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D91A95">
        <w:rPr>
          <w:rFonts w:ascii="Times New Roman" w:hAnsi="Times New Roman" w:cs="Times New Roman"/>
          <w:sz w:val="24"/>
          <w:szCs w:val="24"/>
          <w:lang w:val="mk-MK"/>
        </w:rPr>
        <w:t xml:space="preserve">1. Ја </w:t>
      </w:r>
      <w:r w:rsidR="006A3411">
        <w:rPr>
          <w:rFonts w:ascii="Times New Roman" w:hAnsi="Times New Roman" w:cs="Times New Roman"/>
          <w:sz w:val="24"/>
          <w:szCs w:val="24"/>
          <w:lang w:val="mk-MK"/>
        </w:rPr>
        <w:t>забележува</w:t>
      </w:r>
      <w:r w:rsidRPr="00D91A95">
        <w:rPr>
          <w:rFonts w:ascii="Times New Roman" w:hAnsi="Times New Roman" w:cs="Times New Roman"/>
          <w:sz w:val="24"/>
          <w:szCs w:val="24"/>
          <w:lang w:val="mk-MK"/>
        </w:rPr>
        <w:t xml:space="preserve"> стратешката посветеност на Северна Македонија за пристапување во ЕУ, која е вкоренета во непоколебливиот национален консензус меѓу политичките партии и поддршката меѓу граѓаните; охрабрува континуиран дијалог меѓу сите засегнати страни за да се задржи фокусот на оваа стратешка цел;</w:t>
      </w:r>
    </w:p>
    <w:p w14:paraId="30F3CF08" w14:textId="77777777" w:rsidR="00D91A95" w:rsidRPr="00D91A95" w:rsidRDefault="00D91A95" w:rsidP="00D91A95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5A5C1BE8" w14:textId="52D43D84" w:rsidR="001A5803" w:rsidRDefault="00D91A95" w:rsidP="00D91A95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D91A95">
        <w:rPr>
          <w:rFonts w:ascii="Times New Roman" w:hAnsi="Times New Roman" w:cs="Times New Roman"/>
          <w:sz w:val="24"/>
          <w:szCs w:val="24"/>
          <w:lang w:val="mk-MK"/>
        </w:rPr>
        <w:t>2. Ја поддржува посветеноста на Советот за проширување, како што е изразена во заклучоците на Советот и Европскиот совет во претходните години, и Стратешката агенда на ЕУ 2024-2029; ја нагласува потребата, во рамките на Копенхашките политички критериуми, пристапувањето во ЕУ да остане индивидуализиран и процес базиран на заслуги, воден од фер и ригорозна условеност, принципи на сопствени заслуги и реверзибилност; го повторува своето верување дека сегашните геополитички предизвици ја докажуваат важноста од одржување на проширувањето на врвот на агендата; забележува дека се очекува домашните политички односи да влезат во помирен период; повикува, во оваа средина, следната фаза од преговорите за пристапување да се одржи без непотребно одложување и штом ќе се исполнат релевантните услови утврдени од Советот; повикува, во овој поглед, на одлучувачки чекори за унапредување на процесот на преговори за пристапување</w:t>
      </w:r>
      <w:r w:rsidR="00AF18E4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AF18E4" w:rsidRPr="00AF18E4">
        <w:rPr>
          <w:rFonts w:ascii="Times New Roman" w:hAnsi="Times New Roman" w:cs="Times New Roman"/>
          <w:iCs/>
          <w:sz w:val="24"/>
          <w:szCs w:val="24"/>
          <w:lang w:val="mk-MK"/>
        </w:rPr>
        <w:t>во согласност со преговарачката рамка на ЕУ и за спроведување на претходно преземените обврски, вклучително и договорените уставни измени</w:t>
      </w:r>
      <w:r w:rsidR="00AF18E4" w:rsidRPr="00AF18E4">
        <w:rPr>
          <w:rFonts w:ascii="Times New Roman" w:hAnsi="Times New Roman" w:cs="Times New Roman"/>
          <w:sz w:val="24"/>
          <w:szCs w:val="24"/>
          <w:lang w:val="mk-MK"/>
        </w:rPr>
        <w:t xml:space="preserve">; го поздравува понатамошното унапредување на постепената </w:t>
      </w:r>
      <w:r w:rsidR="00AF18E4" w:rsidRPr="00AF18E4">
        <w:rPr>
          <w:rFonts w:ascii="Times New Roman" w:hAnsi="Times New Roman" w:cs="Times New Roman"/>
          <w:sz w:val="24"/>
          <w:szCs w:val="24"/>
          <w:lang w:val="mk-MK"/>
        </w:rPr>
        <w:lastRenderedPageBreak/>
        <w:t>интеграција на земјите-кандидатки во ЕУ, но сепак нагласува дека ова не е и не може да биде алтернатива на кредибилниот пат кон полноправно членство;</w:t>
      </w:r>
    </w:p>
    <w:p w14:paraId="0A64E1C0" w14:textId="77777777" w:rsidR="0079506F" w:rsidRDefault="0079506F" w:rsidP="00D91A95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271A2D04" w14:textId="64955B0C" w:rsidR="001A5803" w:rsidRDefault="001A5803" w:rsidP="00D91A95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1A5803">
        <w:rPr>
          <w:rFonts w:ascii="Times New Roman" w:hAnsi="Times New Roman" w:cs="Times New Roman"/>
          <w:sz w:val="24"/>
          <w:szCs w:val="24"/>
          <w:lang w:val="mk-MK"/>
        </w:rPr>
        <w:t>3. Го повторува своето верување дека проширувањето останува двигател на просперитет и безбедност, демократско зајакнување и економско и социјално подобрување што ги намалува нееднаквостите меѓу земјите; во овој поглед, ја поздравува континуираната помош на ЕУ во спроведувањето на реформите поврзани со пристапувањето, особено преку Инструментот за претпристапна помош (ИПА) и во рамките на Инструментот за реформи и раст од 6 милијарди евра за Западен Балкан и новиот План за раст од страна на Комисијата, што е единствена можност земјите да пристапат до конкретни придобивки од членството во ЕУ пред пристапувањето; го поздравува активното вклучување на Северна Македонија во новиот План за раст и спроведувањето од страна на земјата на четирите столба од Планот за постепена интеграција со единствениот пазар на ЕУ, регионална економска интеграција, фундаментални реформи и зголемена финансиска поддршка; го охрабрува навременото и ефикасно исполнување на чекорите за владеење на правото во рамките на Агендата за реформи; нагласува дека ефективноста на финансиската поддршка од ЕУ зависи од спроведувањето на с</w:t>
      </w:r>
      <w:r w:rsidR="00EC4A02">
        <w:rPr>
          <w:rFonts w:ascii="Times New Roman" w:hAnsi="Times New Roman" w:cs="Times New Roman"/>
          <w:sz w:val="24"/>
          <w:szCs w:val="24"/>
          <w:lang w:val="mk-MK"/>
        </w:rPr>
        <w:t>ѐ</w:t>
      </w:r>
      <w:r w:rsidRPr="001A5803">
        <w:rPr>
          <w:rFonts w:ascii="Times New Roman" w:hAnsi="Times New Roman" w:cs="Times New Roman"/>
          <w:sz w:val="24"/>
          <w:szCs w:val="24"/>
          <w:lang w:val="mk-MK"/>
        </w:rPr>
        <w:t xml:space="preserve">опфатни мерки за надзор и отчетност; </w:t>
      </w:r>
      <w:r w:rsidR="00EC4A02" w:rsidRPr="00EC4A02">
        <w:rPr>
          <w:rFonts w:ascii="Times New Roman" w:hAnsi="Times New Roman" w:cs="Times New Roman"/>
          <w:sz w:val="24"/>
          <w:szCs w:val="24"/>
          <w:lang w:val="mk-MK"/>
        </w:rPr>
        <w:t>ја повикува земјата да обезбеди капацитет за апсорпција на средствата со цел да се спречи повлекување на средствата;</w:t>
      </w:r>
    </w:p>
    <w:p w14:paraId="40BFFD34" w14:textId="77777777" w:rsidR="00EC4A02" w:rsidRDefault="00EC4A02" w:rsidP="00D91A95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286683E6" w14:textId="77777777" w:rsidR="00F36081" w:rsidRPr="00F36081" w:rsidRDefault="00F36081" w:rsidP="00F36081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F36081">
        <w:rPr>
          <w:rFonts w:ascii="Times New Roman" w:hAnsi="Times New Roman" w:cs="Times New Roman"/>
          <w:sz w:val="24"/>
          <w:szCs w:val="24"/>
          <w:lang w:val="mk-MK"/>
        </w:rPr>
        <w:t>4. Ја поздравува целосната имплементација на системот на Единствената европска платна зона (SEPA) од страна на Северна Македонија од 7 октомври 2025 година; нагласува дека ова овозможува брзи, ефикасни и стандардизирани плаќања низ земјите-членки, од кои имаат корист граѓаните и бизнисите;</w:t>
      </w:r>
    </w:p>
    <w:p w14:paraId="7FDEDD00" w14:textId="77777777" w:rsidR="00F36081" w:rsidRPr="00F36081" w:rsidRDefault="00F36081" w:rsidP="00F36081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23D15006" w14:textId="5E13B63C" w:rsidR="00F36081" w:rsidRDefault="00F36081" w:rsidP="00F36081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596F7D">
        <w:rPr>
          <w:rFonts w:ascii="Times New Roman" w:hAnsi="Times New Roman" w:cs="Times New Roman"/>
          <w:sz w:val="24"/>
          <w:szCs w:val="24"/>
          <w:lang w:val="mk-MK"/>
        </w:rPr>
        <w:t xml:space="preserve">5. Ја </w:t>
      </w:r>
      <w:r w:rsidR="00C26BB1">
        <w:rPr>
          <w:rFonts w:ascii="Times New Roman" w:hAnsi="Times New Roman" w:cs="Times New Roman"/>
          <w:sz w:val="24"/>
          <w:szCs w:val="24"/>
          <w:lang w:val="mk-MK"/>
        </w:rPr>
        <w:t>нагласува важноста на</w:t>
      </w:r>
      <w:r w:rsidRPr="00596F7D">
        <w:rPr>
          <w:rFonts w:ascii="Times New Roman" w:hAnsi="Times New Roman" w:cs="Times New Roman"/>
          <w:sz w:val="24"/>
          <w:szCs w:val="24"/>
          <w:lang w:val="mk-MK"/>
        </w:rPr>
        <w:t xml:space="preserve"> Северна Македонија за одржувањето добри односи со другите земји од</w:t>
      </w:r>
      <w:r w:rsidR="00596F7D" w:rsidRPr="00596F7D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596F7D" w:rsidRPr="00596F7D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проширувањето</w:t>
      </w:r>
      <w:r w:rsidR="00596F7D" w:rsidRPr="00596F7D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</w:t>
      </w:r>
      <w:r w:rsidR="00596F7D" w:rsidRPr="00596F7D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и</w:t>
      </w:r>
      <w:r w:rsidR="00596F7D" w:rsidRPr="00596F7D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</w:t>
      </w:r>
      <w:r w:rsidR="00596F7D" w:rsidRPr="00596F7D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соседните</w:t>
      </w:r>
      <w:r w:rsidR="00596F7D" w:rsidRPr="00596F7D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</w:t>
      </w:r>
      <w:r w:rsidR="00596F7D" w:rsidRPr="00596F7D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земји</w:t>
      </w:r>
      <w:r w:rsidR="00596F7D" w:rsidRPr="00596F7D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</w:t>
      </w:r>
      <w:r w:rsidR="00596F7D" w:rsidRPr="00596F7D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како</w:t>
      </w:r>
      <w:r w:rsidR="00596F7D" w:rsidRPr="00596F7D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</w:t>
      </w:r>
      <w:r w:rsidR="00596F7D" w:rsidRPr="00596F7D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суштински</w:t>
      </w:r>
      <w:r w:rsidR="00596F7D" w:rsidRPr="00596F7D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</w:t>
      </w:r>
      <w:r w:rsidR="00596F7D" w:rsidRPr="00596F7D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елемент</w:t>
      </w:r>
      <w:r w:rsidR="00596F7D" w:rsidRPr="00596F7D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</w:t>
      </w:r>
      <w:r w:rsidR="00596F7D" w:rsidRPr="00596F7D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на</w:t>
      </w:r>
      <w:r w:rsidR="00596F7D" w:rsidRPr="00596F7D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</w:t>
      </w:r>
      <w:r w:rsidR="00596F7D" w:rsidRPr="00596F7D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процесот</w:t>
      </w:r>
      <w:r w:rsidR="00596F7D" w:rsidRPr="00596F7D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</w:t>
      </w:r>
      <w:r w:rsidR="00596F7D" w:rsidRPr="00596F7D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на</w:t>
      </w:r>
      <w:r w:rsidR="00596F7D" w:rsidRPr="00596F7D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</w:t>
      </w:r>
      <w:r w:rsidR="00596F7D" w:rsidRPr="00596F7D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проширување</w:t>
      </w:r>
      <w:r w:rsidR="00596F7D" w:rsidRPr="00596F7D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</w:t>
      </w:r>
      <w:r w:rsidR="00596F7D" w:rsidRPr="00596F7D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и</w:t>
      </w:r>
      <w:r w:rsidR="00596F7D" w:rsidRPr="00596F7D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</w:t>
      </w:r>
      <w:r w:rsidR="00596F7D" w:rsidRPr="00596F7D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ја</w:t>
      </w:r>
      <w:r w:rsidR="00596F7D" w:rsidRPr="00596F7D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</w:t>
      </w:r>
      <w:r w:rsidR="00596F7D" w:rsidRPr="00596F7D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пофалува</w:t>
      </w:r>
      <w:r w:rsidRPr="00596F7D">
        <w:rPr>
          <w:rFonts w:ascii="Times New Roman" w:hAnsi="Times New Roman" w:cs="Times New Roman"/>
          <w:sz w:val="24"/>
          <w:szCs w:val="24"/>
          <w:lang w:val="mk-MK"/>
        </w:rPr>
        <w:t xml:space="preserve"> и за нејзиното континуирано ангажирање во регионалните иницијативи, нагласувајќи ја важноста на нивната инклузивност; нагласува дека постојните договори со соседните земји, кои се сметаат за суштински за инклузивна регионална соработка и добрососедски односи, вклучувајќи го </w:t>
      </w:r>
      <w:r w:rsidR="00596F7D" w:rsidRPr="00596F7D">
        <w:rPr>
          <w:rFonts w:ascii="Times New Roman" w:hAnsi="Times New Roman" w:cs="Times New Roman"/>
          <w:sz w:val="24"/>
          <w:szCs w:val="24"/>
          <w:lang w:val="mk-MK"/>
        </w:rPr>
        <w:t xml:space="preserve">меѓународниот </w:t>
      </w:r>
      <w:r w:rsidRPr="00596F7D">
        <w:rPr>
          <w:rFonts w:ascii="Times New Roman" w:hAnsi="Times New Roman" w:cs="Times New Roman"/>
          <w:sz w:val="24"/>
          <w:szCs w:val="24"/>
          <w:lang w:val="mk-MK"/>
        </w:rPr>
        <w:t>Преспански договор со Грција и Договорот за пријателство, добрососедство и соработка со Бугарија, треба да се спроведуваат со добра волја од страна на сите страни;</w:t>
      </w:r>
    </w:p>
    <w:p w14:paraId="1EF24C0F" w14:textId="77777777" w:rsidR="0079506F" w:rsidRDefault="0079506F" w:rsidP="00F36081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266E3152" w14:textId="6D96813D" w:rsidR="00E93761" w:rsidRPr="0079506F" w:rsidRDefault="0079506F" w:rsidP="00E9376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mk-MK"/>
        </w:rPr>
      </w:pPr>
      <w:r w:rsidRPr="0079506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mk-MK"/>
        </w:rPr>
        <w:t>6.</w:t>
      </w:r>
      <w:r w:rsidR="00E93761" w:rsidRPr="0079506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mk-MK"/>
        </w:rPr>
        <w:t xml:space="preserve"> Ја нагласува суштинската улога на зајакнатата културна и образовна соработка во градењето меѓусебно разбирање, помирување и долгорочна стабилност во регионот; охрабрува засилени размени меѓу образовните институции, музеите, културните организации и академските заедници, како и шеми за мобилност, дијалог меѓу младите и граѓански иницијативи, заеднички програми за дигитална и медиумска писменост и критичко размислување, размена на добри практики и заеднички иницијативи за инклузија, како на пример за ромските заедници, и заедничка поддршка за културни и </w:t>
      </w:r>
      <w:r w:rsidR="00E93761" w:rsidRPr="0079506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mk-MK"/>
        </w:rPr>
        <w:lastRenderedPageBreak/>
        <w:t>креативни проекти; нагласува дека таквата соработка треба да промовира почитување на заедничките европски вредности и да го поттикнува дијалогот меѓу младите луѓе;</w:t>
      </w:r>
    </w:p>
    <w:p w14:paraId="2FF7B5F2" w14:textId="77777777" w:rsidR="00F36081" w:rsidRPr="00F36081" w:rsidRDefault="00F36081" w:rsidP="00F36081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14EA2D23" w14:textId="09CA0CF0" w:rsidR="00F36081" w:rsidRDefault="0079506F" w:rsidP="00F3608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7</w:t>
      </w:r>
      <w:r w:rsidR="00F36081" w:rsidRPr="00E93761">
        <w:rPr>
          <w:rFonts w:ascii="Times New Roman" w:hAnsi="Times New Roman" w:cs="Times New Roman"/>
          <w:sz w:val="24"/>
          <w:szCs w:val="24"/>
          <w:lang w:val="mk-MK"/>
        </w:rPr>
        <w:t>. Ја пофалува целосната усогласеност на Северна Македонија со заедничката надворешна и безбедносна политика на ЕУ, вклучително и во врска со агресивната војна на Русија против Украина, што испраќа силен сигнал за нејзиниот стратешки избор за пристапување во ЕУ и ја потврдува земјата како сигурен партнер; понатаму ги пофалува континуираните придонеси на Северна Македонија во мисиите на ЕУ за управување со кризи и операциите предводени од НАТО;</w:t>
      </w:r>
      <w:r w:rsidR="00E93761" w:rsidRPr="00E93761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E93761" w:rsidRPr="00E93761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; повикува на одржување на конструктивниот тон на преговорите и дипломатските интеракции од страна на сите страни вклучени во процесот;</w:t>
      </w:r>
    </w:p>
    <w:p w14:paraId="034D5C68" w14:textId="77777777" w:rsidR="0079506F" w:rsidRPr="001E38FE" w:rsidRDefault="0079506F" w:rsidP="00F3608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</w:pPr>
    </w:p>
    <w:p w14:paraId="6D51ED54" w14:textId="027FF843" w:rsidR="00AC6430" w:rsidRDefault="0079506F" w:rsidP="00AC6430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8</w:t>
      </w:r>
      <w:r w:rsidR="00AC6430" w:rsidRPr="00AC6430">
        <w:rPr>
          <w:rFonts w:ascii="Times New Roman" w:hAnsi="Times New Roman" w:cs="Times New Roman"/>
          <w:sz w:val="24"/>
          <w:szCs w:val="24"/>
          <w:lang w:val="mk-MK"/>
        </w:rPr>
        <w:t xml:space="preserve">. </w:t>
      </w:r>
      <w:r w:rsidR="001E38FE">
        <w:rPr>
          <w:rFonts w:ascii="Times New Roman" w:hAnsi="Times New Roman" w:cs="Times New Roman"/>
          <w:sz w:val="24"/>
          <w:szCs w:val="24"/>
          <w:lang w:val="mk-MK"/>
        </w:rPr>
        <w:t>Признава дека</w:t>
      </w:r>
      <w:r w:rsidR="00AC6430" w:rsidRPr="00AC6430">
        <w:rPr>
          <w:rFonts w:ascii="Times New Roman" w:hAnsi="Times New Roman" w:cs="Times New Roman"/>
          <w:sz w:val="24"/>
          <w:szCs w:val="24"/>
          <w:lang w:val="mk-MK"/>
        </w:rPr>
        <w:t xml:space="preserve"> Северна Македонија </w:t>
      </w:r>
      <w:r w:rsidR="001E38FE">
        <w:rPr>
          <w:rFonts w:ascii="Times New Roman" w:hAnsi="Times New Roman" w:cs="Times New Roman"/>
          <w:sz w:val="24"/>
          <w:szCs w:val="24"/>
          <w:lang w:val="mk-MK"/>
        </w:rPr>
        <w:t>има</w:t>
      </w:r>
      <w:r w:rsidR="00AC6430" w:rsidRPr="00AC6430">
        <w:rPr>
          <w:rFonts w:ascii="Times New Roman" w:hAnsi="Times New Roman" w:cs="Times New Roman"/>
          <w:sz w:val="24"/>
          <w:szCs w:val="24"/>
          <w:lang w:val="mk-MK"/>
        </w:rPr>
        <w:t xml:space="preserve"> мултиетничко општество, со</w:t>
      </w:r>
      <w:r w:rsidR="001E38FE">
        <w:rPr>
          <w:rFonts w:ascii="Times New Roman" w:hAnsi="Times New Roman" w:cs="Times New Roman"/>
          <w:sz w:val="24"/>
          <w:szCs w:val="24"/>
          <w:lang w:val="mk-MK"/>
        </w:rPr>
        <w:t xml:space="preserve"> посветени</w:t>
      </w:r>
      <w:r w:rsidR="00AC6430" w:rsidRPr="00AC6430">
        <w:rPr>
          <w:rFonts w:ascii="Times New Roman" w:hAnsi="Times New Roman" w:cs="Times New Roman"/>
          <w:sz w:val="24"/>
          <w:szCs w:val="24"/>
          <w:lang w:val="mk-MK"/>
        </w:rPr>
        <w:t xml:space="preserve"> институции</w:t>
      </w:r>
      <w:r w:rsidR="001E38FE">
        <w:rPr>
          <w:rFonts w:ascii="Times New Roman" w:hAnsi="Times New Roman" w:cs="Times New Roman"/>
          <w:sz w:val="24"/>
          <w:szCs w:val="24"/>
          <w:lang w:val="mk-MK"/>
        </w:rPr>
        <w:t xml:space="preserve"> и ја нагласува важноста од</w:t>
      </w:r>
      <w:r w:rsidR="00AC6430" w:rsidRPr="00AC6430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1E38FE">
        <w:rPr>
          <w:rFonts w:ascii="Times New Roman" w:hAnsi="Times New Roman" w:cs="Times New Roman"/>
          <w:sz w:val="24"/>
          <w:szCs w:val="24"/>
          <w:lang w:val="mk-MK"/>
        </w:rPr>
        <w:t>негувањето</w:t>
      </w:r>
      <w:r w:rsidR="00AC6430" w:rsidRPr="00AC6430">
        <w:rPr>
          <w:rFonts w:ascii="Times New Roman" w:hAnsi="Times New Roman" w:cs="Times New Roman"/>
          <w:sz w:val="24"/>
          <w:szCs w:val="24"/>
          <w:lang w:val="mk-MK"/>
        </w:rPr>
        <w:t xml:space="preserve"> хармонични меѓуетнички односи и соработка</w:t>
      </w:r>
      <w:r w:rsidR="001E38FE">
        <w:rPr>
          <w:rFonts w:ascii="Times New Roman" w:hAnsi="Times New Roman" w:cs="Times New Roman"/>
          <w:sz w:val="24"/>
          <w:szCs w:val="24"/>
          <w:lang w:val="mk-MK"/>
        </w:rPr>
        <w:t xml:space="preserve"> меѓу заедниците</w:t>
      </w:r>
      <w:r w:rsidR="00AC6430" w:rsidRPr="00AC6430">
        <w:rPr>
          <w:rFonts w:ascii="Times New Roman" w:hAnsi="Times New Roman" w:cs="Times New Roman"/>
          <w:sz w:val="24"/>
          <w:szCs w:val="24"/>
          <w:lang w:val="mk-MK"/>
        </w:rPr>
        <w:t xml:space="preserve">; го поздравува континуираното спроведување на Охридскиот рамковен договор, кој останува клучен </w:t>
      </w:r>
      <w:r w:rsidR="00AC6430">
        <w:rPr>
          <w:rFonts w:ascii="Times New Roman" w:hAnsi="Times New Roman" w:cs="Times New Roman"/>
          <w:sz w:val="24"/>
          <w:szCs w:val="24"/>
          <w:lang w:val="mk-MK"/>
        </w:rPr>
        <w:t>столб</w:t>
      </w:r>
      <w:r w:rsidR="00AC6430" w:rsidRPr="00AC6430">
        <w:rPr>
          <w:rFonts w:ascii="Times New Roman" w:hAnsi="Times New Roman" w:cs="Times New Roman"/>
          <w:sz w:val="24"/>
          <w:szCs w:val="24"/>
          <w:lang w:val="mk-MK"/>
        </w:rPr>
        <w:t xml:space="preserve"> на стабилноста во земјата речиси четвртина век, како и други напори за промовирање на политичката, економската и социјалната инклузија и правата на сите етнички заедници;</w:t>
      </w:r>
    </w:p>
    <w:p w14:paraId="4D086DD7" w14:textId="77777777" w:rsidR="0079506F" w:rsidRPr="00AC6430" w:rsidRDefault="0079506F" w:rsidP="00AC6430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625A8ABB" w14:textId="4440C8BB" w:rsidR="00AC6430" w:rsidRDefault="0079506F" w:rsidP="00AC6430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9</w:t>
      </w:r>
      <w:r w:rsidR="00AC6430" w:rsidRPr="00AC6430">
        <w:rPr>
          <w:rFonts w:ascii="Times New Roman" w:hAnsi="Times New Roman" w:cs="Times New Roman"/>
          <w:sz w:val="24"/>
          <w:szCs w:val="24"/>
          <w:lang w:val="mk-MK"/>
        </w:rPr>
        <w:t>. Ја нагласува потребата Северна Македонија да го заштити институционалниот интегритет и да ги почитува демократските принципи, особено во контекст на зголемените обиди за дестабилизација низ цела Европа; дополнително ја нагласува важноста на политичката одговорност на сите нивоа на управување за зајакнување на довербата во институциите; ги поздравува тековните напори во реформата на јавната администрациј</w:t>
      </w:r>
      <w:r>
        <w:rPr>
          <w:rFonts w:ascii="Times New Roman" w:hAnsi="Times New Roman" w:cs="Times New Roman"/>
          <w:sz w:val="24"/>
          <w:szCs w:val="24"/>
          <w:lang w:val="mk-MK"/>
        </w:rPr>
        <w:t>а;</w:t>
      </w:r>
    </w:p>
    <w:p w14:paraId="2CB0E7F5" w14:textId="77777777" w:rsidR="0079506F" w:rsidRPr="00AC6430" w:rsidRDefault="0079506F" w:rsidP="00AC6430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3272BEE3" w14:textId="0FDD1ED5" w:rsidR="00AC6430" w:rsidRDefault="0079506F" w:rsidP="00AC6430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10</w:t>
      </w:r>
      <w:r w:rsidR="00AC6430" w:rsidRPr="00AC6430">
        <w:rPr>
          <w:rFonts w:ascii="Times New Roman" w:hAnsi="Times New Roman" w:cs="Times New Roman"/>
          <w:sz w:val="24"/>
          <w:szCs w:val="24"/>
          <w:lang w:val="mk-MK"/>
        </w:rPr>
        <w:t xml:space="preserve">. Го поздравува продолжувањето на активностите за поддршка на демократијата меѓу Собранието и Европскиот парламент преку </w:t>
      </w:r>
      <w:r w:rsidR="00AC6430">
        <w:rPr>
          <w:rFonts w:ascii="Times New Roman" w:hAnsi="Times New Roman" w:cs="Times New Roman"/>
          <w:sz w:val="24"/>
          <w:szCs w:val="24"/>
          <w:lang w:val="mk-MK"/>
        </w:rPr>
        <w:t>Г</w:t>
      </w:r>
      <w:r w:rsidR="00AC6430" w:rsidRPr="00AC6430">
        <w:rPr>
          <w:rFonts w:ascii="Times New Roman" w:hAnsi="Times New Roman" w:cs="Times New Roman"/>
          <w:sz w:val="24"/>
          <w:szCs w:val="24"/>
          <w:lang w:val="mk-MK"/>
        </w:rPr>
        <w:t>рупа</w:t>
      </w:r>
      <w:r w:rsidR="00AC6430">
        <w:rPr>
          <w:rFonts w:ascii="Times New Roman" w:hAnsi="Times New Roman" w:cs="Times New Roman"/>
          <w:sz w:val="24"/>
          <w:szCs w:val="24"/>
          <w:lang w:val="mk-MK"/>
        </w:rPr>
        <w:t>та</w:t>
      </w:r>
      <w:r w:rsidR="00AC6430" w:rsidRPr="00AC6430">
        <w:rPr>
          <w:rFonts w:ascii="Times New Roman" w:hAnsi="Times New Roman" w:cs="Times New Roman"/>
          <w:sz w:val="24"/>
          <w:szCs w:val="24"/>
          <w:lang w:val="mk-MK"/>
        </w:rPr>
        <w:t xml:space="preserve"> за поддршка на демократијата и координација на изборите (DEG) и ги зема предвид веќе постигнатите достигнувања преку дијалогот Жан Моне и разните активности за градење капацитети за членовите и државните службеници</w:t>
      </w:r>
      <w:r w:rsidR="00FA15E9">
        <w:rPr>
          <w:rFonts w:ascii="Times New Roman" w:hAnsi="Times New Roman" w:cs="Times New Roman"/>
          <w:sz w:val="24"/>
          <w:szCs w:val="24"/>
          <w:lang w:val="mk-MK"/>
        </w:rPr>
        <w:t>; повикува на измена на Изборниот законик многу пред следниот изборен циклус, во согласност со препораките на ОБСЕ/ОДИХР и Венецијанската комисија, вклучително и распределба на средстват</w:t>
      </w:r>
      <w:r>
        <w:rPr>
          <w:rFonts w:ascii="Times New Roman" w:hAnsi="Times New Roman" w:cs="Times New Roman"/>
          <w:sz w:val="24"/>
          <w:szCs w:val="24"/>
          <w:lang w:val="mk-MK"/>
        </w:rPr>
        <w:t>а;</w:t>
      </w:r>
    </w:p>
    <w:p w14:paraId="2EB68173" w14:textId="77777777" w:rsidR="0079506F" w:rsidRDefault="0079506F" w:rsidP="00AC6430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49D048A3" w14:textId="51972224" w:rsidR="002B741D" w:rsidRDefault="00AC6430" w:rsidP="002B741D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mk-MK"/>
        </w:rPr>
      </w:pPr>
      <w:r w:rsidRPr="00AC6430">
        <w:rPr>
          <w:rFonts w:ascii="Times New Roman" w:hAnsi="Times New Roman" w:cs="Times New Roman"/>
          <w:sz w:val="24"/>
          <w:szCs w:val="24"/>
          <w:lang w:val="mk-MK"/>
        </w:rPr>
        <w:t>1</w:t>
      </w:r>
      <w:r w:rsidR="0079506F">
        <w:rPr>
          <w:rFonts w:ascii="Times New Roman" w:hAnsi="Times New Roman" w:cs="Times New Roman"/>
          <w:sz w:val="24"/>
          <w:szCs w:val="24"/>
          <w:lang w:val="mk-MK"/>
        </w:rPr>
        <w:t>1</w:t>
      </w:r>
      <w:r w:rsidRPr="00AC6430">
        <w:rPr>
          <w:rFonts w:ascii="Times New Roman" w:hAnsi="Times New Roman" w:cs="Times New Roman"/>
          <w:sz w:val="24"/>
          <w:szCs w:val="24"/>
          <w:lang w:val="mk-MK"/>
        </w:rPr>
        <w:t>. Го забележува нивото на подготовка на Северна Македонија во клучните области на политиката и континуитетот на посветеноста на земјата; ги охрабрува напорите за преземање решителни чекори за забрзување на спроведувањето на реформите на ЕУ и унапредување на процесот на преговори за пристапување во ЕУ, во кој меѓупарламентарната соработка останува клучна</w:t>
      </w:r>
      <w:r w:rsidRPr="000073B2">
        <w:rPr>
          <w:rFonts w:ascii="Times New Roman" w:hAnsi="Times New Roman" w:cs="Times New Roman"/>
          <w:sz w:val="24"/>
          <w:szCs w:val="24"/>
          <w:lang w:val="mk-MK"/>
        </w:rPr>
        <w:t xml:space="preserve">; </w:t>
      </w:r>
      <w:r w:rsidR="000073B2" w:rsidRPr="000073B2">
        <w:rPr>
          <w:rFonts w:ascii="Times New Roman" w:hAnsi="Times New Roman" w:cs="Times New Roman"/>
          <w:iCs/>
          <w:sz w:val="24"/>
          <w:szCs w:val="24"/>
          <w:lang w:val="mk-MK"/>
        </w:rPr>
        <w:t xml:space="preserve">ја поздравува подготвеноста за имплементирање на препораките од Оценската мисија на ЕУ за реформи во Судскиот совет, како и доставување на предложените законски измени на Законот за судски совет </w:t>
      </w:r>
      <w:r w:rsidR="000073B2" w:rsidRPr="000073B2">
        <w:rPr>
          <w:rFonts w:ascii="Times New Roman" w:hAnsi="Times New Roman" w:cs="Times New Roman"/>
          <w:iCs/>
          <w:sz w:val="24"/>
          <w:szCs w:val="24"/>
          <w:lang w:val="mk-MK"/>
        </w:rPr>
        <w:lastRenderedPageBreak/>
        <w:t>на мислење до Венецијанската комисија</w:t>
      </w:r>
      <w:r w:rsidR="000073B2">
        <w:rPr>
          <w:rFonts w:ascii="Times New Roman" w:hAnsi="Times New Roman" w:cs="Times New Roman"/>
          <w:sz w:val="24"/>
          <w:szCs w:val="24"/>
          <w:lang w:val="mk-MK"/>
        </w:rPr>
        <w:t xml:space="preserve">; </w:t>
      </w:r>
      <w:r w:rsidRPr="00AC6430">
        <w:rPr>
          <w:rFonts w:ascii="Times New Roman" w:hAnsi="Times New Roman" w:cs="Times New Roman"/>
          <w:sz w:val="24"/>
          <w:szCs w:val="24"/>
          <w:lang w:val="mk-MK"/>
        </w:rPr>
        <w:t xml:space="preserve">ги повикува сите релевантни засегнати страни да го искористат моментумот на процесот на проширување и конструктивно да соработуваат на реформите поврзани со ЕУ; повикува на зголемени напори за постигнување напредок во оние области каде што тоа не е забележано во изминатата година, вклучително и во фундаменталните права, </w:t>
      </w:r>
      <w:r w:rsidR="00FA15E9">
        <w:rPr>
          <w:rFonts w:ascii="Times New Roman" w:hAnsi="Times New Roman" w:cs="Times New Roman"/>
          <w:sz w:val="24"/>
          <w:szCs w:val="24"/>
          <w:lang w:val="mk-MK"/>
        </w:rPr>
        <w:t xml:space="preserve">добрососедство, </w:t>
      </w:r>
      <w:r w:rsidRPr="00AC6430">
        <w:rPr>
          <w:rFonts w:ascii="Times New Roman" w:hAnsi="Times New Roman" w:cs="Times New Roman"/>
          <w:sz w:val="24"/>
          <w:szCs w:val="24"/>
          <w:lang w:val="mk-MK"/>
        </w:rPr>
        <w:t>реформата на судството, климатските промени и борбата против корупцијата и сериозниот и организиран криминал;</w:t>
      </w:r>
      <w:r w:rsidR="006E73B8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6E73B8" w:rsidRPr="006E73B8">
        <w:rPr>
          <w:rFonts w:ascii="Times New Roman" w:hAnsi="Times New Roman" w:cs="Times New Roman"/>
          <w:iCs/>
          <w:sz w:val="24"/>
          <w:szCs w:val="24"/>
          <w:lang w:val="mk-MK"/>
        </w:rPr>
        <w:t>го поздравува позитивното мислење усвоено од Венецијанската комисија на нејзината 144-та пленарна седница на 9-10 октомври 2025 година за нацрт-законот за јавнообвинителска служба и нацрт-законот за Советот на јавни обвинители, со што се потврдува нивната усогласеност со меѓународните и европските стандарди;</w:t>
      </w:r>
      <w:r w:rsidR="006E73B8" w:rsidRPr="0032655D">
        <w:rPr>
          <w:rFonts w:ascii="Times New Roman" w:hAnsi="Times New Roman" w:cs="Times New Roman"/>
          <w:b/>
          <w:bCs/>
          <w:iCs/>
          <w:sz w:val="24"/>
          <w:szCs w:val="24"/>
          <w:lang w:val="mk-MK"/>
        </w:rPr>
        <w:t xml:space="preserve"> </w:t>
      </w:r>
      <w:r w:rsidRPr="00AC6430">
        <w:rPr>
          <w:rFonts w:ascii="Times New Roman" w:hAnsi="Times New Roman" w:cs="Times New Roman"/>
          <w:sz w:val="24"/>
          <w:szCs w:val="24"/>
          <w:lang w:val="mk-MK"/>
        </w:rPr>
        <w:t xml:space="preserve"> ја охрабрува земјата дополнително да го усогласи своето законодавство со acquis на ЕУ, вклучително и со усвојување на нов Кривичен законик;</w:t>
      </w:r>
      <w:r w:rsidR="002B741D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2B741D" w:rsidRPr="002B741D">
        <w:rPr>
          <w:rFonts w:ascii="Times New Roman" w:hAnsi="Times New Roman" w:cs="Times New Roman"/>
          <w:iCs/>
          <w:sz w:val="24"/>
          <w:szCs w:val="24"/>
          <w:lang w:val="mk-MK"/>
        </w:rPr>
        <w:t>го поздравува напредокот забележан од ГРЕКО во 2025 година во однос на исполнувањето на неговите препораки дадени во Петтата рунда на евалуација за спречување на корупцијата и промовирање на интегритетот во централните влади и ја поздравува одлуката на ГРЕКО да ја прекине постапката за усогласеност од Петтата рунда на евалуација во однос на Северна Македонија; ги поздравува тековните процеси на изготвување закони во врска со независноста на судството и автономијата на јавното обвинителство</w:t>
      </w:r>
      <w:r w:rsidR="0079506F">
        <w:rPr>
          <w:rFonts w:ascii="Times New Roman" w:hAnsi="Times New Roman" w:cs="Times New Roman"/>
          <w:b/>
          <w:bCs/>
          <w:iCs/>
          <w:sz w:val="24"/>
          <w:szCs w:val="24"/>
          <w:lang w:val="mk-MK"/>
        </w:rPr>
        <w:t>;</w:t>
      </w:r>
    </w:p>
    <w:p w14:paraId="69E0C58C" w14:textId="567F7A11" w:rsidR="002B741D" w:rsidRPr="002B741D" w:rsidRDefault="002B741D" w:rsidP="002B741D">
      <w:pPr>
        <w:jc w:val="both"/>
        <w:rPr>
          <w:rFonts w:ascii="Times New Roman" w:hAnsi="Times New Roman" w:cs="Times New Roman"/>
          <w:iCs/>
          <w:sz w:val="24"/>
          <w:szCs w:val="24"/>
          <w:lang w:val="mk-MK"/>
        </w:rPr>
      </w:pPr>
    </w:p>
    <w:p w14:paraId="5B87613F" w14:textId="53867241" w:rsidR="002B741D" w:rsidRPr="006B7555" w:rsidRDefault="002B741D" w:rsidP="002B741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mk-MK"/>
        </w:rPr>
      </w:pPr>
      <w:r w:rsidRPr="006B7555">
        <w:rPr>
          <w:rFonts w:ascii="Times New Roman" w:hAnsi="Times New Roman" w:cs="Times New Roman"/>
          <w:color w:val="000000"/>
          <w:sz w:val="24"/>
          <w:szCs w:val="24"/>
          <w:lang w:val="mk-MK"/>
        </w:rPr>
        <w:t>1</w:t>
      </w:r>
      <w:r w:rsidR="0079506F" w:rsidRPr="006B7555">
        <w:rPr>
          <w:rFonts w:ascii="Times New Roman" w:hAnsi="Times New Roman" w:cs="Times New Roman"/>
          <w:color w:val="000000"/>
          <w:sz w:val="24"/>
          <w:szCs w:val="24"/>
          <w:lang w:val="mk-MK"/>
        </w:rPr>
        <w:t>2</w:t>
      </w:r>
      <w:r w:rsidRPr="006B7555">
        <w:rPr>
          <w:rFonts w:ascii="Times New Roman" w:hAnsi="Times New Roman" w:cs="Times New Roman"/>
          <w:color w:val="000000"/>
          <w:sz w:val="24"/>
          <w:szCs w:val="24"/>
          <w:lang w:val="mk-MK"/>
        </w:rPr>
        <w:t>. Ги нагласува предизвиците во социјалната политика и вработувањето; ги охрабрува чекорите во националното законодавство за поддршка на работничките права, колективното договарање, недискриминацијата во вработувањето и решавање на прашањата поврзани со безбедноста и здравјето при работа;</w:t>
      </w:r>
    </w:p>
    <w:p w14:paraId="10E7CD5B" w14:textId="6F078817" w:rsidR="00AC6430" w:rsidRPr="00AC6430" w:rsidRDefault="00AC6430" w:rsidP="00AC6430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27BDD8FA" w14:textId="01900E3D" w:rsidR="00AC6430" w:rsidRDefault="00AC6430" w:rsidP="00AC6430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AC6430">
        <w:rPr>
          <w:rFonts w:ascii="Times New Roman" w:hAnsi="Times New Roman" w:cs="Times New Roman"/>
          <w:sz w:val="24"/>
          <w:szCs w:val="24"/>
          <w:lang w:val="mk-MK"/>
        </w:rPr>
        <w:t>1</w:t>
      </w:r>
      <w:r w:rsidR="006B7555">
        <w:rPr>
          <w:rFonts w:ascii="Times New Roman" w:hAnsi="Times New Roman" w:cs="Times New Roman"/>
          <w:sz w:val="24"/>
          <w:szCs w:val="24"/>
          <w:lang w:val="mk-MK"/>
        </w:rPr>
        <w:t>3</w:t>
      </w:r>
      <w:r w:rsidRPr="00AC6430">
        <w:rPr>
          <w:rFonts w:ascii="Times New Roman" w:hAnsi="Times New Roman" w:cs="Times New Roman"/>
          <w:sz w:val="24"/>
          <w:szCs w:val="24"/>
          <w:lang w:val="mk-MK"/>
        </w:rPr>
        <w:t xml:space="preserve">. Ја </w:t>
      </w:r>
      <w:r w:rsidR="00774045">
        <w:rPr>
          <w:rFonts w:ascii="Times New Roman" w:hAnsi="Times New Roman" w:cs="Times New Roman"/>
          <w:sz w:val="24"/>
          <w:szCs w:val="24"/>
          <w:lang w:val="mk-MK"/>
        </w:rPr>
        <w:t xml:space="preserve"> признава</w:t>
      </w:r>
      <w:r w:rsidRPr="00AC6430">
        <w:rPr>
          <w:rFonts w:ascii="Times New Roman" w:hAnsi="Times New Roman" w:cs="Times New Roman"/>
          <w:sz w:val="24"/>
          <w:szCs w:val="24"/>
          <w:lang w:val="mk-MK"/>
        </w:rPr>
        <w:t xml:space="preserve"> генерално задоволителната општа рамка за фундаменталните права, </w:t>
      </w:r>
      <w:r w:rsidR="00774045">
        <w:rPr>
          <w:rFonts w:ascii="Times New Roman" w:hAnsi="Times New Roman" w:cs="Times New Roman"/>
          <w:sz w:val="24"/>
          <w:szCs w:val="24"/>
          <w:lang w:val="mk-MK"/>
        </w:rPr>
        <w:t xml:space="preserve">ја повикува Северна Македонија дополнително да ги зајакне фундаменталните права, вклучувајќи ги правата на лицата кои припаѓаат на малцинства или заедници, слободата на медиумите и слободата на изразувањето, жали за сите случаи на насилство од омраза; </w:t>
      </w:r>
      <w:r w:rsidRPr="00AC6430">
        <w:rPr>
          <w:rFonts w:ascii="Times New Roman" w:hAnsi="Times New Roman" w:cs="Times New Roman"/>
          <w:sz w:val="24"/>
          <w:szCs w:val="24"/>
          <w:lang w:val="mk-MK"/>
        </w:rPr>
        <w:t xml:space="preserve">потсетува дека правната и институционалната рамка за недискриминација останува целосно усогласена со acquis на ЕУ; ги охрабрува властите да ја забрзаат работата на патоказите за владеење на правото, реформата на јавната администрација, </w:t>
      </w:r>
      <w:r w:rsidR="00774045">
        <w:rPr>
          <w:rFonts w:ascii="Times New Roman" w:hAnsi="Times New Roman" w:cs="Times New Roman"/>
          <w:sz w:val="24"/>
          <w:szCs w:val="24"/>
          <w:lang w:val="mk-MK"/>
        </w:rPr>
        <w:t xml:space="preserve">рамката за јавни тендери, </w:t>
      </w:r>
      <w:r w:rsidRPr="00AC6430">
        <w:rPr>
          <w:rFonts w:ascii="Times New Roman" w:hAnsi="Times New Roman" w:cs="Times New Roman"/>
          <w:sz w:val="24"/>
          <w:szCs w:val="24"/>
          <w:lang w:val="mk-MK"/>
        </w:rPr>
        <w:t>функционирањето на демократските институции и акцискиот план за заштита на малцинствата;</w:t>
      </w:r>
    </w:p>
    <w:p w14:paraId="63C75950" w14:textId="77777777" w:rsidR="00236717" w:rsidRPr="00AC6430" w:rsidRDefault="00236717" w:rsidP="00AC6430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05A223D5" w14:textId="7900DA34" w:rsidR="00E27180" w:rsidRDefault="00E27180" w:rsidP="00E2718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</w:pP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1</w:t>
      </w:r>
      <w:r w:rsidR="00236717"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4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. </w:t>
      </w:r>
      <w:r w:rsidR="00236717"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Г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о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поздравува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напредокот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постигнат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во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спроведувањето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на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стратегијата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2022-2030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за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вклучување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на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Ромите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; 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повикува на континуирани напори за целосна интеграција, преку целосно отстранување на сите форми на дискриминација,  бариери во образованието и нееднаков пристап до основните услуги, ги повикува властите да продолжат со обезбедување на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соодветно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финансирање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за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мерки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за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поддршка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на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образованието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,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вработувањето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и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здравствената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заштита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за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справување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со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овие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нееднаквости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;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ја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нагласува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важноста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на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редовното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собирање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податоци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за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поддршка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на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ефикасно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известување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и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следење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,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подобрување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на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транспарентноста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и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зајакнување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на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одговорноста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;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ја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 xml:space="preserve">потенцира потребата од соодветна континуирана подршка особено за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lastRenderedPageBreak/>
        <w:t>децата Роми, го поздравува Собранието и другите институции за решавањето на деценискиот проблем со неевидентираните лица, пред сé Роми, и нивното впишување во матичната книга на родените со што се овозможија услови за остварување на уставно загарантираните права</w:t>
      </w:r>
      <w:r w:rsidR="00236717"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;</w:t>
      </w:r>
    </w:p>
    <w:p w14:paraId="4FBC5AB5" w14:textId="77777777" w:rsidR="00236717" w:rsidRPr="00236717" w:rsidRDefault="00236717" w:rsidP="00E27180">
      <w:pPr>
        <w:spacing w:line="276" w:lineRule="auto"/>
        <w:jc w:val="both"/>
        <w:rPr>
          <w:rFonts w:ascii="Times New Roman" w:hAnsi="Times New Roman" w:cs="Times New Roman"/>
          <w:strike/>
          <w:sz w:val="24"/>
          <w:szCs w:val="24"/>
          <w:shd w:val="clear" w:color="auto" w:fill="FFFFFF"/>
          <w:lang w:val="nl-NL"/>
        </w:rPr>
      </w:pPr>
    </w:p>
    <w:p w14:paraId="7790DACA" w14:textId="0C7144D7" w:rsidR="00E27180" w:rsidRPr="00236717" w:rsidRDefault="00E27180" w:rsidP="00E2718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</w:pP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1</w:t>
      </w:r>
      <w:r w:rsidR="00236717"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5.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Ја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поздравува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целокупната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задоволителна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институционална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рамка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за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правата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на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детето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;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ги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повикува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властите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дополнително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да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го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зајакнат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спроведувањето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на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рамката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преку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решавање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на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постојаните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постојни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празнини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,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вклучувајќи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го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ограничениот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пристап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до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услуги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за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заштита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на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децата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,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недоволната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поддршка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за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децата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жртви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на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насилство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и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непропорционалната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ранливост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на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децата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Роми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и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децата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со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попреченост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;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дополнително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го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поздравува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усвојувањето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на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Националниот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акционен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план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за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правата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на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детето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за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2025-2029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година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;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нагласува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дека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мора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да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се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издвојат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соодветни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ресурси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за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ефикасна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борба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против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детската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сиромаштија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и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за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спроведување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с</w:t>
      </w:r>
      <w:r w:rsidR="00236717"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é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опфатни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мерки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за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сите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деца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во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нужда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,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во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согласност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со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целните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групи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идентификувани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во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рамките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на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Европската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гаранција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за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деца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;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ги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повикува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властите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да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воспостават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силно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координативно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тело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со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јасен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мандат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и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да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обезбедат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континуирана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професионална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обука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за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социјалните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работници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,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едукаторите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и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судските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актери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;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нагласува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дека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ефикасната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заштита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на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децата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мора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да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остане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централна одредница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во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процесот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на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интеграција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на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земјата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во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ЕУ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;</w:t>
      </w:r>
    </w:p>
    <w:p w14:paraId="0B265DE3" w14:textId="77777777" w:rsidR="00E27180" w:rsidRDefault="00E27180" w:rsidP="00E27180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mk-MK"/>
        </w:rPr>
      </w:pPr>
    </w:p>
    <w:p w14:paraId="63E44F26" w14:textId="507BA5A9" w:rsidR="00E27180" w:rsidRPr="00236717" w:rsidRDefault="00E27180" w:rsidP="00E2718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</w:pP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1</w:t>
      </w:r>
      <w:r w:rsidR="00236717"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6.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Го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поздравува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фактот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дека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Северна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Македонија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е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првата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меѓу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седумте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регионални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земји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што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ги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затвори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сите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свои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установи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за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сместување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;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нагласува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дека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обезбедувањето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безбеден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и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одржлив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премин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за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децата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од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институционална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грижа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кон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згрижувачко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семејство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и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грижа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во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заедницата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бара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с</w:t>
      </w:r>
      <w:r w:rsidR="00236717"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é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опфатни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мерки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за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да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се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гарантира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достапноста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на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соодветни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и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соодветно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финансирани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услуги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;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повикува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на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зајакнување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на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улогата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и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капацитетот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на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Центрите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за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поддршка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на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згрижувачки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семејства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;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понатаму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повикува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на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зајакнување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на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основните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услуги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и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системи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за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социјална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заштита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за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поддршка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на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децата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и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нивните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семејства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и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за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спречување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на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непотребно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раздвојување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дете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-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семејство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;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ја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нагласува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потребата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да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се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обезбеди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дека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сите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случаи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на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заштита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на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децата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ги водат соодветно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обучени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социјални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mk-MK"/>
        </w:rPr>
        <w:t>работници</w:t>
      </w:r>
      <w:r w:rsidRPr="00236717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;</w:t>
      </w:r>
    </w:p>
    <w:p w14:paraId="3939BC26" w14:textId="77777777" w:rsidR="00AC6430" w:rsidRPr="00E27180" w:rsidRDefault="00AC6430" w:rsidP="00AC6430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68077860" w14:textId="3B420A88" w:rsidR="0062023C" w:rsidRDefault="00AC6430" w:rsidP="0062023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</w:pPr>
      <w:r w:rsidRPr="00AC6430">
        <w:rPr>
          <w:rFonts w:ascii="Times New Roman" w:hAnsi="Times New Roman" w:cs="Times New Roman"/>
          <w:sz w:val="24"/>
          <w:szCs w:val="24"/>
          <w:lang w:val="mk-MK"/>
        </w:rPr>
        <w:t>1</w:t>
      </w:r>
      <w:r w:rsidR="00236717">
        <w:rPr>
          <w:rFonts w:ascii="Times New Roman" w:hAnsi="Times New Roman" w:cs="Times New Roman"/>
          <w:sz w:val="24"/>
          <w:szCs w:val="24"/>
          <w:lang w:val="mk-MK"/>
        </w:rPr>
        <w:t>7</w:t>
      </w:r>
      <w:r w:rsidRPr="00AC6430">
        <w:rPr>
          <w:rFonts w:ascii="Times New Roman" w:hAnsi="Times New Roman" w:cs="Times New Roman"/>
          <w:sz w:val="24"/>
          <w:szCs w:val="24"/>
          <w:lang w:val="mk-MK"/>
        </w:rPr>
        <w:t xml:space="preserve">. Ги охрабрува дополнителните институционални и законски реформи за решавање на клучните аспекти на родовата еднаквост, особено во однос на подобрување на учеството </w:t>
      </w:r>
      <w:r w:rsidR="00E27180">
        <w:rPr>
          <w:rFonts w:ascii="Times New Roman" w:hAnsi="Times New Roman" w:cs="Times New Roman"/>
          <w:sz w:val="24"/>
          <w:szCs w:val="24"/>
          <w:lang w:val="mk-MK"/>
        </w:rPr>
        <w:t xml:space="preserve">на жените и ЛГБТКИ+ </w:t>
      </w:r>
      <w:r w:rsidRPr="00AC6430">
        <w:rPr>
          <w:rFonts w:ascii="Times New Roman" w:hAnsi="Times New Roman" w:cs="Times New Roman"/>
          <w:sz w:val="24"/>
          <w:szCs w:val="24"/>
          <w:lang w:val="mk-MK"/>
        </w:rPr>
        <w:t>во политичкиот, економскиот и социјалниот живот, пристапот до здравствени услуги, спречувањето на родово базирано и семејно насилство и заштитата на жртвите; ги осудува ендемските случаи на говор на омраза базиран</w:t>
      </w:r>
      <w:r w:rsidR="00E27180">
        <w:rPr>
          <w:rFonts w:ascii="Times New Roman" w:hAnsi="Times New Roman" w:cs="Times New Roman"/>
          <w:sz w:val="24"/>
          <w:szCs w:val="24"/>
          <w:lang w:val="mk-MK"/>
        </w:rPr>
        <w:t>а</w:t>
      </w:r>
      <w:r w:rsidRPr="00AC6430">
        <w:rPr>
          <w:rFonts w:ascii="Times New Roman" w:hAnsi="Times New Roman" w:cs="Times New Roman"/>
          <w:sz w:val="24"/>
          <w:szCs w:val="24"/>
          <w:lang w:val="mk-MK"/>
        </w:rPr>
        <w:t xml:space="preserve"> на род</w:t>
      </w:r>
      <w:r w:rsidR="00E27180">
        <w:rPr>
          <w:rFonts w:ascii="Times New Roman" w:hAnsi="Times New Roman" w:cs="Times New Roman"/>
          <w:sz w:val="24"/>
          <w:szCs w:val="24"/>
          <w:lang w:val="mk-MK"/>
        </w:rPr>
        <w:t>ова и сексуална ориентација</w:t>
      </w:r>
      <w:r w:rsidRPr="00AC6430">
        <w:rPr>
          <w:rFonts w:ascii="Times New Roman" w:hAnsi="Times New Roman" w:cs="Times New Roman"/>
          <w:sz w:val="24"/>
          <w:szCs w:val="24"/>
          <w:lang w:val="mk-MK"/>
        </w:rPr>
        <w:t>, вклучително и заканите кон жените</w:t>
      </w:r>
      <w:r w:rsidR="00E27180">
        <w:rPr>
          <w:rFonts w:ascii="Times New Roman" w:hAnsi="Times New Roman" w:cs="Times New Roman"/>
          <w:sz w:val="24"/>
          <w:szCs w:val="24"/>
          <w:lang w:val="mk-MK"/>
        </w:rPr>
        <w:t xml:space="preserve"> и ЛГБТКИ+</w:t>
      </w:r>
      <w:r w:rsidRPr="00AC6430">
        <w:rPr>
          <w:rFonts w:ascii="Times New Roman" w:hAnsi="Times New Roman" w:cs="Times New Roman"/>
          <w:sz w:val="24"/>
          <w:szCs w:val="24"/>
          <w:lang w:val="mk-MK"/>
        </w:rPr>
        <w:t xml:space="preserve"> бранители на човекови права, особено на социјалните медиуми</w:t>
      </w:r>
      <w:r w:rsidRPr="001335A5">
        <w:rPr>
          <w:rFonts w:ascii="Times New Roman" w:hAnsi="Times New Roman" w:cs="Times New Roman"/>
          <w:sz w:val="24"/>
          <w:szCs w:val="24"/>
          <w:lang w:val="mk-MK"/>
        </w:rPr>
        <w:t xml:space="preserve">; </w:t>
      </w:r>
      <w:r w:rsidR="001335A5" w:rsidRPr="001335A5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го поздравува зајакнувањето на законските мерки за борба против родово базираното насилство во 2024 година, вклучително и усогласувањето на кривичниот законик на Северна Македонија со Истанбулската конвенција и криминализацијата на следењето и сексуалното вознемирување, како што објави Амнести Интернешнл</w:t>
      </w:r>
      <w:r w:rsidR="001335A5" w:rsidRPr="00217D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mk-MK"/>
        </w:rPr>
        <w:t>;</w:t>
      </w:r>
      <w:r w:rsidR="001335A5" w:rsidRPr="00217D6E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 xml:space="preserve">  </w:t>
      </w:r>
      <w:r w:rsidRPr="00AC6430">
        <w:rPr>
          <w:rFonts w:ascii="Times New Roman" w:hAnsi="Times New Roman" w:cs="Times New Roman"/>
          <w:sz w:val="24"/>
          <w:szCs w:val="24"/>
          <w:lang w:val="mk-MK"/>
        </w:rPr>
        <w:t xml:space="preserve">во овој поглед ги поздравува постојните иницијативи против говорот на омраза на интернет, како што се Советот за етика во медиумите и Регистарот на професионални и етички онлајн медиуми, на кои </w:t>
      </w:r>
      <w:r w:rsidRPr="00AC6430">
        <w:rPr>
          <w:rFonts w:ascii="Times New Roman" w:hAnsi="Times New Roman" w:cs="Times New Roman"/>
          <w:sz w:val="24"/>
          <w:szCs w:val="24"/>
          <w:lang w:val="mk-MK"/>
        </w:rPr>
        <w:lastRenderedPageBreak/>
        <w:t>треба да им се даде сета потребна поддршка</w:t>
      </w:r>
      <w:r w:rsidRPr="0062023C">
        <w:rPr>
          <w:rFonts w:ascii="Times New Roman" w:hAnsi="Times New Roman" w:cs="Times New Roman"/>
          <w:sz w:val="24"/>
          <w:szCs w:val="24"/>
          <w:lang w:val="mk-MK"/>
        </w:rPr>
        <w:t>;</w:t>
      </w:r>
      <w:r w:rsidR="0062023C" w:rsidRPr="0062023C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 xml:space="preserve"> ги повикува властите да спроведат мерки за систематско собирање податоци за говорот на омраза и злосторствата од омраза;  ја забележува постојано ниската застапеност на жените на локалните избрани функции и повикува на насочени мерки за зголемување на учеството; </w:t>
      </w:r>
      <w:r w:rsidR="0062023C" w:rsidRPr="0062023C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го поздравува фактот дека на последните избори, жените сочинуваа 43 проценти од кандидатите за пратеници, а жена кандидат победи на претседателските избори; </w:t>
      </w:r>
      <w:r w:rsidR="0062023C" w:rsidRPr="0062023C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го поздравува континуираното спроведување во текот на 2024/2025 година на кампањите „Со вас сме – заедно против насилството врз жените и девојчињата“ и „Достапна е помош за живот без насилство“, со поддршка од канцеларијата на УНФПА и финансиска поддршка од Британската амбасада.</w:t>
      </w:r>
    </w:p>
    <w:p w14:paraId="2503B618" w14:textId="77777777" w:rsidR="00236717" w:rsidRPr="00D66D35" w:rsidRDefault="00236717" w:rsidP="0062023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</w:pPr>
    </w:p>
    <w:p w14:paraId="013A3B00" w14:textId="3C566EE0" w:rsidR="00AC6430" w:rsidRPr="00236717" w:rsidRDefault="00D66D35" w:rsidP="0062023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</w:pP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1</w:t>
      </w:r>
      <w:r w:rsidR="00236717"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8.</w:t>
      </w:r>
      <w:r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 xml:space="preserve"> Ги осудува сите форми на говор на омраза, вознемирување и насилство врз поединци или заедници врз етничка или јазична основа; ги повикува властите ефикасно да ги гонат сите такви случаи и да ги зајакнат превентивните и образовните мерки;</w:t>
      </w:r>
    </w:p>
    <w:p w14:paraId="20CF77DD" w14:textId="77777777" w:rsidR="00E47946" w:rsidRDefault="00E47946" w:rsidP="00AC6430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7866DF1D" w14:textId="5F3632B9" w:rsidR="00D66D35" w:rsidRPr="00B51857" w:rsidRDefault="00E47946" w:rsidP="00D66D3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</w:pPr>
      <w:r w:rsidRPr="00E47946">
        <w:rPr>
          <w:rFonts w:ascii="Times New Roman" w:hAnsi="Times New Roman" w:cs="Times New Roman"/>
          <w:sz w:val="24"/>
          <w:szCs w:val="24"/>
          <w:lang w:val="mk-MK"/>
        </w:rPr>
        <w:t>1</w:t>
      </w:r>
      <w:r w:rsidR="00236717">
        <w:rPr>
          <w:rFonts w:ascii="Times New Roman" w:hAnsi="Times New Roman" w:cs="Times New Roman"/>
          <w:sz w:val="24"/>
          <w:szCs w:val="24"/>
          <w:lang w:val="mk-MK"/>
        </w:rPr>
        <w:t>9</w:t>
      </w:r>
      <w:r w:rsidRPr="00E47946">
        <w:rPr>
          <w:rFonts w:ascii="Times New Roman" w:hAnsi="Times New Roman" w:cs="Times New Roman"/>
          <w:sz w:val="24"/>
          <w:szCs w:val="24"/>
          <w:lang w:val="mk-MK"/>
        </w:rPr>
        <w:t>. Ги поздравува соодветните законски гаранции за слободата на изразување, но сзагриженост го забележува падот на глобалните рангирања како што се Индексот на слободата на печатот и Индексот на слободата во светот по постојаниот напредок на земјата во претходните години; ги повикува властите да усвојат законска рамка што ефикасно ги штити новинарите, бранителите на човекови права, активистите за животна средина и другите засегнати страни од стратешки тужби против</w:t>
      </w:r>
      <w:r w:rsidR="008E2C14">
        <w:rPr>
          <w:rFonts w:ascii="Times New Roman" w:hAnsi="Times New Roman" w:cs="Times New Roman"/>
          <w:sz w:val="24"/>
          <w:szCs w:val="24"/>
          <w:lang w:val="mk-MK"/>
        </w:rPr>
        <w:t xml:space="preserve"> јавно</w:t>
      </w:r>
      <w:r w:rsidR="000C1638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E47946">
        <w:rPr>
          <w:rFonts w:ascii="Times New Roman" w:hAnsi="Times New Roman" w:cs="Times New Roman"/>
          <w:sz w:val="24"/>
          <w:szCs w:val="24"/>
          <w:lang w:val="mk-MK"/>
        </w:rPr>
        <w:t xml:space="preserve">учество (SLAPPs) и да ги спроведат одредбите од Директивата на ЕУ против SLAPP; </w:t>
      </w:r>
      <w:r w:rsidR="00D66D35" w:rsidRPr="00D66D35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го признава транспарентниот и инклузивниот начин на кој измените на Законот за медиуми беа усвоени од страна на Собранието во април 2025 година, преку тесна соработка со претставници на медиумските организации и граѓанското општество</w:t>
      </w:r>
      <w:r w:rsid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;</w:t>
      </w:r>
    </w:p>
    <w:p w14:paraId="129F0C9C" w14:textId="77777777" w:rsidR="00E47946" w:rsidRPr="00E47946" w:rsidRDefault="00E47946" w:rsidP="00E47946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6A063094" w14:textId="56FE0CCD" w:rsidR="008E2C14" w:rsidRDefault="00236717" w:rsidP="006E210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20</w:t>
      </w:r>
      <w:r w:rsidR="00E47946" w:rsidRPr="00E47946">
        <w:rPr>
          <w:rFonts w:ascii="Times New Roman" w:hAnsi="Times New Roman" w:cs="Times New Roman"/>
          <w:sz w:val="24"/>
          <w:szCs w:val="24"/>
          <w:lang w:val="mk-MK"/>
        </w:rPr>
        <w:t>. Потсетува дека основачките вредности на ЕУ вклучуваат владеење на правото и почитување на човековите права; дополнително ја нагласува огромната важност на независен и ефикасен судски систем за ефикасна борба против корупцијата и криминалот; во овој поглед, повикува на континуирани напори за обезбедување независност, непристрасност и одговорност на судството и за зајакнување на нивото на јавна доверба во него;</w:t>
      </w:r>
      <w:r w:rsidR="006E2103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6E2103" w:rsidRPr="0023671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mk-MK"/>
        </w:rPr>
        <w:t>повторува дека судската независност мора да биде заштитена од политичко мешање, вклучително и јавни изјави што може да се сфатат како притисок врз судовите</w:t>
      </w:r>
      <w:r w:rsidR="00E47946" w:rsidRPr="00E47946">
        <w:rPr>
          <w:rFonts w:ascii="Times New Roman" w:hAnsi="Times New Roman" w:cs="Times New Roman"/>
          <w:sz w:val="24"/>
          <w:szCs w:val="24"/>
          <w:lang w:val="mk-MK"/>
        </w:rPr>
        <w:t xml:space="preserve"> повикува на континуирани напори во борбата против корупцијата, вклучително и во случаи на високо ниво; </w:t>
      </w:r>
      <w:r w:rsidR="00664D4C" w:rsidRPr="00236717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и ги поздравува напорите за спречување на злоупотреби на европски средства;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mk-MK"/>
        </w:rPr>
        <w:t xml:space="preserve"> </w:t>
      </w:r>
      <w:r w:rsidR="00E47946" w:rsidRPr="00E47946">
        <w:rPr>
          <w:rFonts w:ascii="Times New Roman" w:hAnsi="Times New Roman" w:cs="Times New Roman"/>
          <w:sz w:val="24"/>
          <w:szCs w:val="24"/>
          <w:lang w:val="mk-MK"/>
        </w:rPr>
        <w:t>потврдува дека правната рамка за сериозен и организиран криминал е делумно усогласена со законодавството на ЕУ; затоа забележува дека е потребен понатамошен напредок во однос на капацитетот за борба против таков криминал; повикува на распределба на доволно финансиски средства за подобрување на ефикасноста на правосудниот систем и обезбедување на неговата финансиска автономија;</w:t>
      </w:r>
      <w:r w:rsidR="006E2103" w:rsidRPr="006E210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mk-MK"/>
        </w:rPr>
        <w:t xml:space="preserve"> </w:t>
      </w:r>
      <w:r w:rsidR="006E2103" w:rsidRPr="0023671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mk-MK"/>
        </w:rPr>
        <w:t xml:space="preserve">ги забележува наодите од Извештајот на Комисијата за 2025 година во врска </w:t>
      </w:r>
      <w:r w:rsidR="006E2103" w:rsidRPr="0023671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mk-MK"/>
        </w:rPr>
        <w:lastRenderedPageBreak/>
        <w:t>со трагедијата во Кочани; повикува на целосна одговорност, зајакнати инспекции и зајакнување на независните тела за борба против корупцијата;</w:t>
      </w:r>
      <w:r w:rsidR="006E2103" w:rsidRPr="009146B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mk-MK"/>
        </w:rPr>
        <w:t xml:space="preserve"> </w:t>
      </w:r>
    </w:p>
    <w:p w14:paraId="448726BB" w14:textId="77777777" w:rsidR="00236717" w:rsidRPr="006E2103" w:rsidRDefault="00236717" w:rsidP="006E210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mk-MK"/>
        </w:rPr>
      </w:pPr>
    </w:p>
    <w:p w14:paraId="7007FD2A" w14:textId="79AFD1F1" w:rsidR="008E2C14" w:rsidRPr="008E2C14" w:rsidRDefault="00236717" w:rsidP="008E2C14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2</w:t>
      </w:r>
      <w:r w:rsidR="008E2C14" w:rsidRPr="008E2C14">
        <w:rPr>
          <w:rFonts w:ascii="Times New Roman" w:hAnsi="Times New Roman" w:cs="Times New Roman"/>
          <w:sz w:val="24"/>
          <w:szCs w:val="24"/>
          <w:lang w:val="mk-MK"/>
        </w:rPr>
        <w:t>1. Го препознава потенцијалот на Северна Македонија како регионален центар во однос на користењето на обновливи извори на енергија; со загриженост забележува дека квалитетот на воздухот и водата, како и управувањето со отпадните води, остануваат особено предизвикувачки; во овој контекст, ја поздравува континуираната финансиска и техничка поддршка на Европската инвестициска банка во Северна Македонија, пречистителната станица за отпадни води во Скопскиот регион и развојот на општинската водоводна инфраструктура; ја нагласува важноста од усогласување на законодавството на Северна Македонија за животната средина и климатските промени со законодавството на ЕУ, Зелената агенда од 2020 година и Парискиот договор, и обезбедување на негово спроведување за да се овозможи фер, инклузивна и одржлива зелена транзиција; ја поздравува континуираната соработка на Северна Македонија со Косово и Албанија во врска со прекуграничниот Национален парк Шар Планина;</w:t>
      </w:r>
    </w:p>
    <w:p w14:paraId="7D883714" w14:textId="77777777" w:rsidR="008E2C14" w:rsidRPr="008E2C14" w:rsidRDefault="008E2C14" w:rsidP="008E2C14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4EA593C4" w14:textId="0B29B23E" w:rsidR="008E2C14" w:rsidRDefault="001E51A3" w:rsidP="008E2C14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22</w:t>
      </w:r>
      <w:r w:rsidR="008E2C14" w:rsidRPr="008E2C14">
        <w:rPr>
          <w:rFonts w:ascii="Times New Roman" w:hAnsi="Times New Roman" w:cs="Times New Roman"/>
          <w:sz w:val="24"/>
          <w:szCs w:val="24"/>
          <w:lang w:val="mk-MK"/>
        </w:rPr>
        <w:t>. Ја нагласува важноста од давање приоритет на одржливиот транспорт и надградбата на работата на енергетската инфраструктура кон интеграција во европските мрежи и регионално поврзување; Во овој поглед, го поздравува напредокот постигнат во изградбата на Коридорите VIII и X од Трансевропската транспортна мрежа (TEN-T), вклучително и потпишувањето, на 6 ноември 2025 година, на договорот за изградба на прекуграничен железнички тунел на Коридорот VIII помеѓу Северна Македонија и Бугарија</w:t>
      </w:r>
      <w:r w:rsidR="008E2C14" w:rsidRPr="004B302A">
        <w:rPr>
          <w:rFonts w:ascii="Times New Roman" w:hAnsi="Times New Roman" w:cs="Times New Roman"/>
          <w:sz w:val="24"/>
          <w:szCs w:val="24"/>
          <w:lang w:val="mk-MK"/>
        </w:rPr>
        <w:t xml:space="preserve">, </w:t>
      </w:r>
      <w:r w:rsidR="004B302A" w:rsidRPr="004B302A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и очекуваниот договор за Коридорот X на прекуграничната железница помеѓу Северна Македонија и Грција, и го охрабрува нивното</w:t>
      </w:r>
      <w:r w:rsidR="004B302A" w:rsidRPr="00390F0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mk-MK"/>
        </w:rPr>
        <w:t xml:space="preserve"> </w:t>
      </w:r>
      <w:r w:rsidR="008E2C14" w:rsidRPr="008E2C14">
        <w:rPr>
          <w:rFonts w:ascii="Times New Roman" w:hAnsi="Times New Roman" w:cs="Times New Roman"/>
          <w:sz w:val="24"/>
          <w:szCs w:val="24"/>
          <w:lang w:val="mk-MK"/>
        </w:rPr>
        <w:t xml:space="preserve">понатамошно ефикасно спроведување; ја повикува Европската комисија да ја одрази перспективата за пристапување на Западен Балкан во својот амбициозен план за брза железница, засилувајќи го </w:t>
      </w:r>
      <w:r w:rsidR="00493DAA">
        <w:rPr>
          <w:rFonts w:ascii="Times New Roman" w:hAnsi="Times New Roman" w:cs="Times New Roman"/>
          <w:sz w:val="24"/>
          <w:szCs w:val="24"/>
          <w:lang w:val="mk-MK"/>
        </w:rPr>
        <w:t>приодот</w:t>
      </w:r>
      <w:r w:rsidR="008E2C14" w:rsidRPr="008E2C14">
        <w:rPr>
          <w:rFonts w:ascii="Times New Roman" w:hAnsi="Times New Roman" w:cs="Times New Roman"/>
          <w:sz w:val="24"/>
          <w:szCs w:val="24"/>
          <w:lang w:val="mk-MK"/>
        </w:rPr>
        <w:t xml:space="preserve"> „поставување на пругата пред возот“; го поздравува завршувањето на експресниот пат Крива Паланка-Длабочица-Страцин; го поздравува усвојувањето на Законот за енергетика во 2025 година и ја нагласува неговата важност за гарантирање безбедно, сигурно и висококвалитетно снабдување со енергија, како и за создавање ефикасен, конкурентен и финансиски одржлив енергетски сектор;</w:t>
      </w:r>
    </w:p>
    <w:p w14:paraId="48131CBA" w14:textId="77777777" w:rsidR="008E2C14" w:rsidRDefault="008E2C14" w:rsidP="008E2C14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1E019CAD" w14:textId="1CB1F43F" w:rsidR="008E2C14" w:rsidRPr="00AC6430" w:rsidRDefault="001E51A3" w:rsidP="008E2C14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23</w:t>
      </w:r>
      <w:r w:rsidR="008E2C14" w:rsidRPr="008E2C14">
        <w:rPr>
          <w:rFonts w:ascii="Times New Roman" w:hAnsi="Times New Roman" w:cs="Times New Roman"/>
          <w:sz w:val="24"/>
          <w:szCs w:val="24"/>
          <w:lang w:val="mk-MK"/>
        </w:rPr>
        <w:t xml:space="preserve">. Ја нагласува важноста на стратешкиот пристап кон градење безбеден, флексибилен, одржлив и инклузивен дигитален екосистем за поддршка на економскиот раст и заштита на основните права на граѓаните, како и за поттикнување на довербата во дигиталните технологии; во овој поглед, го поздравува создавањето на Министерството за дигитална трансформација и подобрувањата и надградбите на Националниот портал за е-услуги, кој обезбедува услуги на три јазици; го поздравува спроведувањето на Националната стратегија за сајбер безбедност 2025–2028, насочена кон зајакнување на отпорноста и безбедноста на земјата во сајбер-просторот, што означува значајна пресвртница во тековните напори на земјата за заштита на нејзината критична дигитална инфраструктура и поттикнување на побезбедно и посигурно општество, особено со оглед на континуираните предизвици што ги претставуваат сајбер-нападите, хибридните </w:t>
      </w:r>
      <w:r w:rsidR="008E2C14" w:rsidRPr="008E2C14">
        <w:rPr>
          <w:rFonts w:ascii="Times New Roman" w:hAnsi="Times New Roman" w:cs="Times New Roman"/>
          <w:sz w:val="24"/>
          <w:szCs w:val="24"/>
          <w:lang w:val="mk-MK"/>
        </w:rPr>
        <w:lastRenderedPageBreak/>
        <w:t>закани, заканите со бомби и кампањите за дезинформации; ја поканува Северна Македонија целосно да се усогласи со Законот за вештачка интелигенција на ЕУ и да ги обезбеди потребните структури за спроведување; повикува на усвојување на робусни правила за сајбер-безбедност и транспарентност на онлајн кампањите за да се заштитат изборните процеси од малигно странско мешање и манипулација со информации.</w:t>
      </w:r>
    </w:p>
    <w:sectPr w:rsidR="008E2C14" w:rsidRPr="00AC6430" w:rsidSect="00FF2B6D">
      <w:footerReference w:type="default" r:id="rId7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7C234" w14:textId="77777777" w:rsidR="00672920" w:rsidRDefault="00672920" w:rsidP="00BC6B95">
      <w:pPr>
        <w:spacing w:after="0" w:line="240" w:lineRule="auto"/>
      </w:pPr>
      <w:r>
        <w:separator/>
      </w:r>
    </w:p>
  </w:endnote>
  <w:endnote w:type="continuationSeparator" w:id="0">
    <w:p w14:paraId="79180420" w14:textId="77777777" w:rsidR="00672920" w:rsidRDefault="00672920" w:rsidP="00BC6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9340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B286C4" w14:textId="1DA6D606" w:rsidR="00BC6B95" w:rsidRDefault="00BC6B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EE3BE6" w14:textId="77777777" w:rsidR="00BC6B95" w:rsidRDefault="00BC6B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F7555" w14:textId="77777777" w:rsidR="00672920" w:rsidRDefault="00672920" w:rsidP="00BC6B95">
      <w:pPr>
        <w:spacing w:after="0" w:line="240" w:lineRule="auto"/>
      </w:pPr>
      <w:r>
        <w:separator/>
      </w:r>
    </w:p>
  </w:footnote>
  <w:footnote w:type="continuationSeparator" w:id="0">
    <w:p w14:paraId="28582747" w14:textId="77777777" w:rsidR="00672920" w:rsidRDefault="00672920" w:rsidP="00BC6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0609C"/>
    <w:multiLevelType w:val="hybridMultilevel"/>
    <w:tmpl w:val="7FDA521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6925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7F"/>
    <w:rsid w:val="000073B2"/>
    <w:rsid w:val="0001737F"/>
    <w:rsid w:val="00030E31"/>
    <w:rsid w:val="00041894"/>
    <w:rsid w:val="000C1638"/>
    <w:rsid w:val="000E0C56"/>
    <w:rsid w:val="001335A5"/>
    <w:rsid w:val="001A5803"/>
    <w:rsid w:val="001E38FE"/>
    <w:rsid w:val="001E51A3"/>
    <w:rsid w:val="00236717"/>
    <w:rsid w:val="002B741D"/>
    <w:rsid w:val="002C660E"/>
    <w:rsid w:val="00303E68"/>
    <w:rsid w:val="0034011B"/>
    <w:rsid w:val="003848AA"/>
    <w:rsid w:val="003D7E6A"/>
    <w:rsid w:val="003F18AA"/>
    <w:rsid w:val="003F7C69"/>
    <w:rsid w:val="00493DAA"/>
    <w:rsid w:val="004B302A"/>
    <w:rsid w:val="00562108"/>
    <w:rsid w:val="00596F7D"/>
    <w:rsid w:val="005D2EDE"/>
    <w:rsid w:val="0062023C"/>
    <w:rsid w:val="00620BF5"/>
    <w:rsid w:val="00664D4C"/>
    <w:rsid w:val="00672920"/>
    <w:rsid w:val="006A3411"/>
    <w:rsid w:val="006B7555"/>
    <w:rsid w:val="006D52F5"/>
    <w:rsid w:val="006E2103"/>
    <w:rsid w:val="006E73B8"/>
    <w:rsid w:val="0071104F"/>
    <w:rsid w:val="00720D40"/>
    <w:rsid w:val="00737591"/>
    <w:rsid w:val="0075025F"/>
    <w:rsid w:val="00765717"/>
    <w:rsid w:val="00774045"/>
    <w:rsid w:val="0079506F"/>
    <w:rsid w:val="00806AB7"/>
    <w:rsid w:val="008E2C14"/>
    <w:rsid w:val="0096385A"/>
    <w:rsid w:val="009A4600"/>
    <w:rsid w:val="00AC6430"/>
    <w:rsid w:val="00AF18E4"/>
    <w:rsid w:val="00B6197F"/>
    <w:rsid w:val="00BC6B95"/>
    <w:rsid w:val="00C26BB1"/>
    <w:rsid w:val="00D66D35"/>
    <w:rsid w:val="00D91A95"/>
    <w:rsid w:val="00E27180"/>
    <w:rsid w:val="00E47946"/>
    <w:rsid w:val="00E93761"/>
    <w:rsid w:val="00EC4A02"/>
    <w:rsid w:val="00EE6431"/>
    <w:rsid w:val="00F07D24"/>
    <w:rsid w:val="00F303F4"/>
    <w:rsid w:val="00F36081"/>
    <w:rsid w:val="00F44CF7"/>
    <w:rsid w:val="00FA15E9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A3E7E"/>
  <w15:chartTrackingRefBased/>
  <w15:docId w15:val="{D2BAEBD0-FF3E-4C48-A1C0-037D37C9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37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7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3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3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3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3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3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3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3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3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37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6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B9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6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B9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3456</Words>
  <Characters>19705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Stefanova</dc:creator>
  <cp:keywords/>
  <dc:description/>
  <cp:lastModifiedBy>Marija Stefanova</cp:lastModifiedBy>
  <cp:revision>23</cp:revision>
  <dcterms:created xsi:type="dcterms:W3CDTF">2025-11-26T21:16:00Z</dcterms:created>
  <dcterms:modified xsi:type="dcterms:W3CDTF">2025-11-27T08:50:00Z</dcterms:modified>
</cp:coreProperties>
</file>